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color w:val="auto"/>
          <w:sz w:val="52"/>
          <w:highlight w:val="none"/>
        </w:rPr>
      </w:pPr>
    </w:p>
    <w:p>
      <w:pPr>
        <w:jc w:val="center"/>
        <w:rPr>
          <w:rFonts w:eastAsia="楷体_GB2312"/>
          <w:color w:val="auto"/>
          <w:sz w:val="52"/>
          <w:highlight w:val="none"/>
        </w:rPr>
      </w:pPr>
      <w:r>
        <w:rPr>
          <w:rFonts w:hint="eastAsia" w:eastAsia="楷体_GB2312"/>
          <w:color w:val="auto"/>
          <w:sz w:val="52"/>
          <w:highlight w:val="none"/>
        </w:rPr>
        <w:t>昆明东富电梯有限公司</w:t>
      </w:r>
    </w:p>
    <w:p>
      <w:pPr>
        <w:jc w:val="center"/>
        <w:rPr>
          <w:rFonts w:eastAsia="楷体_GB2312"/>
          <w:b/>
          <w:color w:val="auto"/>
          <w:sz w:val="52"/>
          <w:highlight w:val="none"/>
        </w:rPr>
      </w:pPr>
    </w:p>
    <w:p>
      <w:pPr>
        <w:jc w:val="center"/>
        <w:rPr>
          <w:rFonts w:eastAsia="楷体_GB2312"/>
          <w:color w:val="auto"/>
          <w:sz w:val="84"/>
          <w:highlight w:val="none"/>
        </w:rPr>
      </w:pPr>
      <w:r>
        <w:rPr>
          <w:rFonts w:hint="eastAsia" w:eastAsia="楷体_GB2312"/>
          <w:color w:val="auto"/>
          <w:sz w:val="84"/>
          <w:highlight w:val="none"/>
        </w:rPr>
        <w:t>电梯维护保养合同书</w:t>
      </w:r>
    </w:p>
    <w:p>
      <w:pPr>
        <w:jc w:val="center"/>
        <w:rPr>
          <w:rFonts w:eastAsia="楷体_GB2312"/>
          <w:b/>
          <w:color w:val="auto"/>
          <w:sz w:val="44"/>
          <w:highlight w:val="none"/>
        </w:rPr>
      </w:pPr>
    </w:p>
    <w:p>
      <w:pPr>
        <w:jc w:val="center"/>
        <w:rPr>
          <w:rFonts w:eastAsia="楷体_GB2312"/>
          <w:b/>
          <w:color w:val="auto"/>
          <w:sz w:val="44"/>
          <w:highlight w:val="none"/>
        </w:rPr>
      </w:pPr>
      <w:r>
        <w:rPr>
          <w:rFonts w:hint="eastAsia" w:eastAsia="楷体_GB2312"/>
          <w:color w:val="auto"/>
          <w:sz w:val="44"/>
          <w:highlight w:val="none"/>
        </w:rPr>
        <w:t xml:space="preserve">合同号： DFWB20240201 </w:t>
      </w: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p>
    <w:p>
      <w:pPr>
        <w:jc w:val="center"/>
        <w:rPr>
          <w:rFonts w:eastAsia="楷体_GB2312"/>
          <w:b/>
          <w:color w:val="auto"/>
          <w:sz w:val="44"/>
          <w:highlight w:val="none"/>
        </w:rPr>
      </w:pPr>
      <w:r>
        <w:rPr>
          <w:rFonts w:hint="eastAsia" w:eastAsia="楷体_GB2312"/>
          <w:b/>
          <w:color w:val="auto"/>
          <w:sz w:val="44"/>
          <w:highlight w:val="none"/>
        </w:rPr>
        <w:t xml:space="preserve"> 年   月  日</w:t>
      </w:r>
    </w:p>
    <w:p>
      <w:pPr>
        <w:rPr>
          <w:rFonts w:hint="eastAsia" w:ascii="宋体" w:hAnsi="宋体" w:eastAsia="宋体" w:cs="宋体"/>
          <w:color w:val="auto"/>
          <w:sz w:val="24"/>
          <w:highlight w:val="none"/>
        </w:rPr>
        <w:sectPr>
          <w:pgSz w:w="11906" w:h="16838"/>
          <w:pgMar w:top="1440" w:right="1253" w:bottom="1440" w:left="1253" w:header="851" w:footer="992" w:gutter="0"/>
          <w:cols w:space="425" w:num="1"/>
          <w:docGrid w:type="lines" w:linePitch="312" w:charSpace="0"/>
        </w:sectPr>
      </w:pPr>
      <w:r>
        <w:rPr>
          <w:rFonts w:hint="eastAsia" w:ascii="宋体" w:hAnsi="宋体" w:eastAsia="宋体" w:cs="宋体"/>
          <w:color w:val="auto"/>
          <w:sz w:val="24"/>
          <w:highlight w:val="none"/>
        </w:rPr>
        <w:br w:type="page"/>
      </w:r>
    </w:p>
    <w:p>
      <w:pPr>
        <w:spacing w:line="360" w:lineRule="auto"/>
        <w:rPr>
          <w:rFonts w:hint="eastAsia" w:ascii="宋体" w:hAnsi="宋体" w:eastAsia="宋体" w:cs="宋体"/>
          <w:color w:val="auto"/>
          <w:sz w:val="24"/>
          <w:highlight w:val="none"/>
        </w:rPr>
        <w:sectPr>
          <w:pgSz w:w="11906" w:h="16838"/>
          <w:pgMar w:top="1440" w:right="1253" w:bottom="1440" w:left="1253" w:header="851" w:footer="992" w:gutter="0"/>
          <w:cols w:space="425" w:num="1"/>
          <w:docGrid w:type="lines" w:linePitch="312" w:charSpace="0"/>
        </w:sectPr>
      </w:pPr>
    </w:p>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委托方(以下简称“甲方”)：</w:t>
      </w:r>
      <w:r>
        <w:rPr>
          <w:rFonts w:hint="eastAsia" w:ascii="宋体" w:hAnsi="宋体" w:eastAsia="宋体" w:cs="宋体"/>
          <w:color w:val="auto"/>
          <w:sz w:val="24"/>
          <w:highlight w:val="none"/>
          <w:u w:val="single"/>
          <w:lang w:val="en-US" w:eastAsia="zh-CN"/>
        </w:rPr>
        <w:t>上海中高后勤服务（集团）有限公司</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受托方(以下简称“乙方”)：</w:t>
      </w:r>
      <w:r>
        <w:rPr>
          <w:rFonts w:hint="eastAsia" w:ascii="宋体" w:hAnsi="宋体" w:eastAsia="宋体" w:cs="宋体"/>
          <w:color w:val="auto"/>
          <w:sz w:val="24"/>
          <w:highlight w:val="none"/>
          <w:u w:val="single"/>
        </w:rPr>
        <w:t>昆明东富电梯有限公司</w:t>
      </w:r>
    </w:p>
    <w:p>
      <w:pPr>
        <w:spacing w:line="360" w:lineRule="auto"/>
        <w:jc w:val="center"/>
        <w:rPr>
          <w:rFonts w:ascii="宋体" w:hAnsi="宋体" w:eastAsia="宋体" w:cs="宋体"/>
          <w:b/>
          <w:bCs/>
          <w:color w:val="auto"/>
          <w:sz w:val="24"/>
          <w:highlight w:val="none"/>
        </w:rPr>
      </w:pPr>
    </w:p>
    <w:p>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合同主要条款</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依照国家质量监督检验检疫总局颁布的《电梯使用管理与维护保养规则》，就甲方委托乙方对电梯进行日常维护保养的有关事宜协商订立本合同。</w:t>
      </w:r>
    </w:p>
    <w:p>
      <w:pPr>
        <w:numPr>
          <w:ilvl w:val="0"/>
          <w:numId w:val="1"/>
        </w:num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电梯日常维护保养的服务内容和范围</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(一)日常维护保养项目(内容)和要求</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乙方应当完成半月、月、季度、半年、年保养项目，并做好维护保养记录。</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(二)日常维护保养时间</w:t>
      </w:r>
      <w:bookmarkStart w:id="3" w:name="_GoBack"/>
      <w:bookmarkEnd w:id="3"/>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在非国家法定节假日、非双休日上午八时至下午五时内。在该期间以外，若甲方有特殊需要，双方可另行协商确定服务时间。</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(三)召修</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乙方提供电梯的日常召修、24小时应急故障处理服务。</w:t>
      </w:r>
    </w:p>
    <w:p>
      <w:pPr>
        <w:numPr>
          <w:ilvl w:val="0"/>
          <w:numId w:val="1"/>
        </w:num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日常维护保养基本保养费和其它费用明细（月/年/台）</w:t>
      </w:r>
    </w:p>
    <w:tbl>
      <w:tblPr>
        <w:tblStyle w:val="10"/>
        <w:tblW w:w="10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66"/>
        <w:gridCol w:w="872"/>
        <w:gridCol w:w="590"/>
        <w:gridCol w:w="567"/>
        <w:gridCol w:w="993"/>
        <w:gridCol w:w="992"/>
        <w:gridCol w:w="850"/>
        <w:gridCol w:w="1171"/>
        <w:gridCol w:w="1134"/>
        <w:gridCol w:w="120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84"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电梯所在位置</w:t>
            </w:r>
          </w:p>
        </w:tc>
        <w:tc>
          <w:tcPr>
            <w:tcW w:w="666"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电梯</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872"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规格</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型号</w:t>
            </w:r>
          </w:p>
        </w:tc>
        <w:tc>
          <w:tcPr>
            <w:tcW w:w="590"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层/站/门</w:t>
            </w:r>
          </w:p>
        </w:tc>
        <w:tc>
          <w:tcPr>
            <w:tcW w:w="567"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台数</w:t>
            </w:r>
          </w:p>
        </w:tc>
        <w:tc>
          <w:tcPr>
            <w:tcW w:w="6340" w:type="dxa"/>
            <w:gridSpan w:val="6"/>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金额（含税）</w:t>
            </w:r>
          </w:p>
        </w:tc>
        <w:tc>
          <w:tcPr>
            <w:tcW w:w="1043" w:type="dxa"/>
            <w:vMerge w:val="restart"/>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维护保养接手日期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84" w:type="dxa"/>
            <w:vMerge w:val="continue"/>
            <w:vAlign w:val="center"/>
          </w:tcPr>
          <w:p>
            <w:pPr>
              <w:jc w:val="center"/>
              <w:rPr>
                <w:rFonts w:ascii="宋体" w:hAnsi="宋体" w:eastAsia="宋体" w:cs="宋体"/>
                <w:b/>
                <w:bCs/>
                <w:color w:val="auto"/>
                <w:szCs w:val="21"/>
                <w:highlight w:val="none"/>
              </w:rPr>
            </w:pPr>
          </w:p>
        </w:tc>
        <w:tc>
          <w:tcPr>
            <w:tcW w:w="666" w:type="dxa"/>
            <w:vMerge w:val="continue"/>
            <w:vAlign w:val="center"/>
          </w:tcPr>
          <w:p>
            <w:pPr>
              <w:jc w:val="center"/>
              <w:rPr>
                <w:rFonts w:ascii="宋体" w:hAnsi="宋体" w:eastAsia="宋体" w:cs="宋体"/>
                <w:b/>
                <w:bCs/>
                <w:color w:val="auto"/>
                <w:szCs w:val="21"/>
                <w:highlight w:val="none"/>
              </w:rPr>
            </w:pPr>
          </w:p>
        </w:tc>
        <w:tc>
          <w:tcPr>
            <w:tcW w:w="872" w:type="dxa"/>
            <w:vMerge w:val="continue"/>
            <w:vAlign w:val="center"/>
          </w:tcPr>
          <w:p>
            <w:pPr>
              <w:jc w:val="center"/>
              <w:rPr>
                <w:rFonts w:ascii="宋体" w:hAnsi="宋体" w:eastAsia="宋体" w:cs="宋体"/>
                <w:b/>
                <w:bCs/>
                <w:color w:val="auto"/>
                <w:szCs w:val="21"/>
                <w:highlight w:val="none"/>
              </w:rPr>
            </w:pPr>
          </w:p>
        </w:tc>
        <w:tc>
          <w:tcPr>
            <w:tcW w:w="590" w:type="dxa"/>
            <w:vMerge w:val="continue"/>
            <w:vAlign w:val="center"/>
          </w:tcPr>
          <w:p>
            <w:pPr>
              <w:jc w:val="center"/>
              <w:rPr>
                <w:rFonts w:ascii="宋体" w:hAnsi="宋体" w:eastAsia="宋体" w:cs="宋体"/>
                <w:b/>
                <w:bCs/>
                <w:color w:val="auto"/>
                <w:szCs w:val="21"/>
                <w:highlight w:val="none"/>
              </w:rPr>
            </w:pPr>
          </w:p>
        </w:tc>
        <w:tc>
          <w:tcPr>
            <w:tcW w:w="567" w:type="dxa"/>
            <w:vMerge w:val="continue"/>
            <w:vAlign w:val="center"/>
          </w:tcPr>
          <w:p>
            <w:pPr>
              <w:jc w:val="center"/>
              <w:rPr>
                <w:rFonts w:ascii="宋体" w:hAnsi="宋体" w:eastAsia="宋体" w:cs="宋体"/>
                <w:b/>
                <w:bCs/>
                <w:color w:val="auto"/>
                <w:szCs w:val="21"/>
                <w:highlight w:val="none"/>
              </w:rPr>
            </w:pPr>
          </w:p>
        </w:tc>
        <w:tc>
          <w:tcPr>
            <w:tcW w:w="993"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基本保养费（元/台/月）</w:t>
            </w:r>
          </w:p>
        </w:tc>
        <w:tc>
          <w:tcPr>
            <w:tcW w:w="992"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基本保养费</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（元/台/年）</w:t>
            </w:r>
          </w:p>
        </w:tc>
        <w:tc>
          <w:tcPr>
            <w:tcW w:w="850"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年检费（元/年）</w:t>
            </w:r>
          </w:p>
        </w:tc>
        <w:tc>
          <w:tcPr>
            <w:tcW w:w="1171"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限速器校验费</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（元/年）</w:t>
            </w:r>
          </w:p>
        </w:tc>
        <w:tc>
          <w:tcPr>
            <w:tcW w:w="1134"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单台小计</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（元/年）</w:t>
            </w:r>
          </w:p>
        </w:tc>
        <w:tc>
          <w:tcPr>
            <w:tcW w:w="1200"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合计</w:t>
            </w:r>
          </w:p>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（元/年）</w:t>
            </w:r>
          </w:p>
        </w:tc>
        <w:tc>
          <w:tcPr>
            <w:tcW w:w="1043" w:type="dxa"/>
            <w:vMerge w:val="continue"/>
            <w:tcBorders>
              <w:bottom w:val="single" w:color="auto" w:sz="4" w:space="0"/>
            </w:tcBorders>
            <w:vAlign w:val="center"/>
          </w:tcPr>
          <w:p>
            <w:pPr>
              <w:jc w:val="center"/>
              <w:rPr>
                <w:rFonts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vAlign w:val="center"/>
          </w:tcPr>
          <w:p>
            <w:pPr>
              <w:jc w:val="center"/>
              <w:rPr>
                <w:rFonts w:hint="eastAsia" w:ascii="宋体" w:hAnsi="宋体" w:eastAsia="宋体" w:cs="宋体"/>
                <w:b/>
                <w:bCs/>
                <w:color w:val="auto"/>
                <w:szCs w:val="21"/>
                <w:highlight w:val="none"/>
              </w:rPr>
            </w:pPr>
          </w:p>
        </w:tc>
        <w:tc>
          <w:tcPr>
            <w:tcW w:w="666" w:type="dxa"/>
            <w:tcFitText/>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蒂尔森</w:t>
            </w:r>
          </w:p>
        </w:tc>
        <w:tc>
          <w:tcPr>
            <w:tcW w:w="872" w:type="dxa"/>
            <w:vAlign w:val="center"/>
          </w:tcPr>
          <w:p>
            <w:pPr>
              <w:jc w:val="center"/>
              <w:rPr>
                <w:rFonts w:ascii="宋体" w:hAnsi="宋体" w:eastAsia="宋体" w:cs="宋体"/>
                <w:b/>
                <w:bCs/>
                <w:color w:val="auto"/>
                <w:szCs w:val="21"/>
                <w:highlight w:val="none"/>
              </w:rPr>
            </w:pPr>
          </w:p>
        </w:tc>
        <w:tc>
          <w:tcPr>
            <w:tcW w:w="59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w:t>
            </w:r>
          </w:p>
        </w:tc>
        <w:tc>
          <w:tcPr>
            <w:tcW w:w="567"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w:t>
            </w:r>
          </w:p>
        </w:tc>
        <w:tc>
          <w:tcPr>
            <w:tcW w:w="993"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233</w:t>
            </w:r>
          </w:p>
        </w:tc>
        <w:tc>
          <w:tcPr>
            <w:tcW w:w="992"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2800</w:t>
            </w:r>
          </w:p>
        </w:tc>
        <w:tc>
          <w:tcPr>
            <w:tcW w:w="85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525</w:t>
            </w:r>
          </w:p>
        </w:tc>
        <w:tc>
          <w:tcPr>
            <w:tcW w:w="1171"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130</w:t>
            </w:r>
          </w:p>
        </w:tc>
        <w:tc>
          <w:tcPr>
            <w:tcW w:w="1134"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3455</w:t>
            </w:r>
          </w:p>
        </w:tc>
        <w:tc>
          <w:tcPr>
            <w:tcW w:w="120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20730</w:t>
            </w:r>
          </w:p>
        </w:tc>
        <w:tc>
          <w:tcPr>
            <w:tcW w:w="1043" w:type="dxa"/>
            <w:vAlign w:val="center"/>
          </w:tcPr>
          <w:p>
            <w:pPr>
              <w:jc w:val="center"/>
              <w:rPr>
                <w:rFonts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vAlign w:val="center"/>
          </w:tcPr>
          <w:p>
            <w:pPr>
              <w:jc w:val="center"/>
              <w:rPr>
                <w:rFonts w:hint="eastAsia" w:ascii="宋体" w:hAnsi="宋体" w:eastAsia="宋体" w:cs="宋体"/>
                <w:b/>
                <w:bCs/>
                <w:color w:val="auto"/>
                <w:szCs w:val="21"/>
                <w:highlight w:val="none"/>
              </w:rPr>
            </w:pPr>
          </w:p>
        </w:tc>
        <w:tc>
          <w:tcPr>
            <w:tcW w:w="666" w:type="dxa"/>
            <w:tcFitText/>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富士精工</w:t>
            </w:r>
          </w:p>
        </w:tc>
        <w:tc>
          <w:tcPr>
            <w:tcW w:w="872" w:type="dxa"/>
            <w:vAlign w:val="center"/>
          </w:tcPr>
          <w:p>
            <w:pPr>
              <w:jc w:val="center"/>
              <w:rPr>
                <w:rFonts w:ascii="宋体" w:hAnsi="宋体" w:eastAsia="宋体" w:cs="宋体"/>
                <w:b/>
                <w:bCs/>
                <w:color w:val="auto"/>
                <w:szCs w:val="21"/>
                <w:highlight w:val="none"/>
              </w:rPr>
            </w:pPr>
          </w:p>
        </w:tc>
        <w:tc>
          <w:tcPr>
            <w:tcW w:w="59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w:t>
            </w:r>
          </w:p>
        </w:tc>
        <w:tc>
          <w:tcPr>
            <w:tcW w:w="567"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993"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233</w:t>
            </w:r>
          </w:p>
        </w:tc>
        <w:tc>
          <w:tcPr>
            <w:tcW w:w="992" w:type="dxa"/>
            <w:tcBorders>
              <w:bottom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2800</w:t>
            </w:r>
          </w:p>
        </w:tc>
        <w:tc>
          <w:tcPr>
            <w:tcW w:w="85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525</w:t>
            </w:r>
          </w:p>
        </w:tc>
        <w:tc>
          <w:tcPr>
            <w:tcW w:w="1171"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130</w:t>
            </w:r>
          </w:p>
        </w:tc>
        <w:tc>
          <w:tcPr>
            <w:tcW w:w="1134"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3455</w:t>
            </w:r>
          </w:p>
        </w:tc>
        <w:tc>
          <w:tcPr>
            <w:tcW w:w="1200"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13820</w:t>
            </w:r>
          </w:p>
        </w:tc>
        <w:tc>
          <w:tcPr>
            <w:tcW w:w="1043" w:type="dxa"/>
            <w:vAlign w:val="center"/>
          </w:tcPr>
          <w:p>
            <w:pPr>
              <w:jc w:val="center"/>
              <w:rPr>
                <w:rFonts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62" w:type="dxa"/>
            <w:gridSpan w:val="12"/>
            <w:vAlign w:val="center"/>
          </w:tcPr>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合计：￥</w:t>
            </w:r>
            <w:r>
              <w:rPr>
                <w:rFonts w:hint="eastAsia" w:ascii="宋体" w:hAnsi="宋体" w:eastAsia="宋体" w:cs="宋体"/>
                <w:b/>
                <w:bCs/>
                <w:color w:val="auto"/>
                <w:sz w:val="28"/>
                <w:szCs w:val="28"/>
                <w:highlight w:val="none"/>
                <w:u w:val="single"/>
              </w:rPr>
              <w:t>34550</w:t>
            </w:r>
            <w:r>
              <w:rPr>
                <w:rFonts w:hint="eastAsia" w:ascii="宋体" w:hAnsi="宋体" w:eastAsia="宋体" w:cs="宋体"/>
                <w:b/>
                <w:bCs/>
                <w:color w:val="auto"/>
                <w:sz w:val="28"/>
                <w:szCs w:val="28"/>
                <w:highlight w:val="none"/>
              </w:rPr>
              <w:t>元   (人民币大写：</w:t>
            </w:r>
            <w:r>
              <w:rPr>
                <w:rFonts w:hint="eastAsia" w:ascii="宋体" w:hAnsi="宋体" w:eastAsia="宋体" w:cs="宋体"/>
                <w:b/>
                <w:bCs/>
                <w:color w:val="auto"/>
                <w:sz w:val="28"/>
                <w:szCs w:val="28"/>
                <w:highlight w:val="none"/>
                <w:u w:val="single"/>
              </w:rPr>
              <w:t>叁万肆仟伍佰伍拾</w:t>
            </w:r>
            <w:r>
              <w:rPr>
                <w:rFonts w:hint="eastAsia" w:ascii="宋体" w:hAnsi="宋体" w:eastAsia="宋体" w:cs="宋体"/>
                <w:b/>
                <w:bCs/>
                <w:color w:val="auto"/>
                <w:sz w:val="28"/>
                <w:szCs w:val="28"/>
                <w:highlight w:val="none"/>
              </w:rPr>
              <w:t>元整 )</w:t>
            </w:r>
          </w:p>
        </w:tc>
      </w:tr>
    </w:tbl>
    <w:p>
      <w:pPr>
        <w:spacing w:line="360" w:lineRule="auto"/>
        <w:ind w:firstLine="480" w:firstLineChars="20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本合同服务费用总额为大写：人民币叁万肆仟伍佰伍拾元整 ；小写：￥34550元整。费用包括完成各项维修、维护、检测、保养所需的人工费、管理费、规费、税金等一切与本项目相关的全部费用，其中须第三方进行的检测费用不得高于市场价格，否则甲方有权指定检测机构。</w:t>
      </w: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第三条、服务期限</w:t>
      </w:r>
    </w:p>
    <w:p>
      <w:pPr>
        <w:spacing w:line="360" w:lineRule="auto"/>
        <w:rPr>
          <w:rFonts w:ascii="宋体" w:hAnsi="宋体" w:eastAsia="宋体" w:cs="宋体"/>
          <w:b/>
          <w:color w:val="auto"/>
          <w:sz w:val="24"/>
          <w:highlight w:val="none"/>
        </w:rPr>
      </w:pPr>
      <w:r>
        <w:rPr>
          <w:rFonts w:hint="eastAsia" w:ascii="宋体" w:hAnsi="宋体" w:eastAsia="宋体" w:cs="宋体"/>
          <w:color w:val="auto"/>
          <w:sz w:val="24"/>
          <w:highlight w:val="none"/>
        </w:rPr>
        <w:t>服务期限:</w:t>
      </w:r>
      <w:r>
        <w:rPr>
          <w:rFonts w:hint="eastAsia" w:ascii="宋体" w:hAnsi="宋体" w:eastAsia="宋体" w:cs="宋体"/>
          <w:color w:val="auto"/>
          <w:sz w:val="24"/>
          <w:highlight w:val="none"/>
          <w:u w:val="single"/>
        </w:rPr>
        <w:t xml:space="preserve"> 2024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01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日止，服务期限后满前一个月双方另行协商确定本合同续签事项。</w:t>
      </w:r>
    </w:p>
    <w:p>
      <w:pPr>
        <w:spacing w:line="360" w:lineRule="auto"/>
        <w:rPr>
          <w:rFonts w:ascii="宋体" w:hAnsi="宋体" w:eastAsia="宋体" w:cs="宋体"/>
          <w:b/>
          <w:bCs/>
          <w:color w:val="auto"/>
          <w:sz w:val="24"/>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第四条、结算方式</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（一）付款方式：</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 xml:space="preserve">银行转账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（二）付款周期为:</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1、合同签订后支付合同金额的50%，即人民币17275元；电梯年度保养期6个月后支付合同金额的30%，即人民币10365元；电梯年度保养期到期后支付合同金额的20%，即人民币6910元；每次付款前，乙方开具</w:t>
      </w:r>
      <w:r>
        <w:rPr>
          <w:rFonts w:hint="eastAsia" w:ascii="宋体" w:hAnsi="宋体" w:eastAsia="宋体" w:cs="宋体"/>
          <w:color w:val="auto"/>
          <w:sz w:val="24"/>
          <w:highlight w:val="none"/>
        </w:rPr>
        <w:t>增值税</w:t>
      </w:r>
      <w:r>
        <w:rPr>
          <w:rFonts w:hint="eastAsia" w:ascii="宋体" w:hAnsi="宋体" w:eastAsia="宋体" w:cs="宋体"/>
          <w:color w:val="auto"/>
          <w:sz w:val="24"/>
          <w:highlight w:val="none"/>
          <w:lang w:val="en-US" w:eastAsia="zh-CN"/>
        </w:rPr>
        <w:t>普通</w:t>
      </w:r>
      <w:r>
        <w:rPr>
          <w:rFonts w:hint="eastAsia" w:ascii="宋体" w:hAnsi="宋体" w:eastAsia="宋体" w:cs="宋体"/>
          <w:color w:val="auto"/>
          <w:sz w:val="24"/>
          <w:highlight w:val="none"/>
        </w:rPr>
        <w:t>发票</w:t>
      </w:r>
      <w:r>
        <w:rPr>
          <w:rFonts w:hint="eastAsia" w:ascii="宋体" w:hAnsi="宋体" w:eastAsia="宋体" w:cs="宋体"/>
          <w:color w:val="auto"/>
          <w:sz w:val="24"/>
          <w:highlight w:val="none"/>
        </w:rPr>
        <w:t>给甲方。</w:t>
      </w:r>
    </w:p>
    <w:p>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第二部分  甲乙双方的权责</w:t>
      </w:r>
    </w:p>
    <w:p>
      <w:pPr>
        <w:numPr>
          <w:ilvl w:val="0"/>
          <w:numId w:val="2"/>
        </w:num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甲方的权责</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(一)权利</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有权监督乙方按照本合同约定履行维护保养义务，提出相应建议。</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(二)义务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1、保存每台电梯原始资料，建立管理和使用记录档案；</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建立电梯使用情况的巡查制度，保证电梯的用电、通讯和监控报警装置等系统安全可靠；保证机房、井道、底坑无漏水渗水现象；进入机房通道畅通且机房有足够的照明、通风、适合设备运行的温度；承担电梯安装及土建导致电梯不符合安全运行要求或者不能达到检验标准的整改费用。</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乙方每次保养后，甲方的日常管理人员应在《电梯日常维护保养纪录》单上签字确认。如乙方已按照本合同的约定履行了保养义务，甲方日常管理人员无故不签字确认的，视同甲方认可乙方的保养行为，经政府相关监管部门查处需处罚的，处罚由甲方承担；甲方日常管理的授权签字人员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赵影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。甲方如果更换授权人，应提前七日书面通知乙方，通知送达乙方前，仍以变换之前的授权人为准。</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4、应当制定电梯事故应急防范、救援措施；</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5、在电梯使用过程中发现故障或异常情况应当立即停止使用，同时采取警示标志等相应措施防止电梯设备被使用，并及时通知乙方；</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6、未经乙方书面许可不得允许非乙方人员从事与电梯维修保养有关的工作；</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7、应当为乙方提供维护保养所需的工作环境；</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8、承担并及时支付维护保养费；</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9、应按照电/扶梯产品说明书所列操作规范，合理、安全、正确的使用设备，避免出现不正确操作和人为损坏等情况；</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10、本合同所涉及的电/扶梯及其附属设施均为甲方财产，应由甲方负责保管并对设备的使用安全负责，乙方仅负责提供本合同项下的维护保养服务；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11、在乙方责任以外的零部件损坏，其更换及修理费用由甲方承担，国家有关安全标准的规定发生改变需增减安全装置时,由甲方支付增减安全装置的人工及材料费；</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12、乙方在保养、维修时发现电梯配件磨损严重或损坏建议甲方更换，由于甲方不及时更换，造成电梯年检不合格的，产生的电梯年检复检费由甲方承担；因电梯存在安全隐患乙方要求停梯，甲方执意仍在使用的，发生电梯故障、事故由甲方承担责任。</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13、由于甲方的原因（包括但不限于维保合同未签、配件损坏不更换、安全通道封堵等）造成电梯年检不合格，责任由甲方承担；</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14、甲方有义务依据相关法规和安全惯例，对设备进行安全监管；</w:t>
      </w:r>
    </w:p>
    <w:p>
      <w:pPr>
        <w:pStyle w:val="6"/>
        <w:ind w:left="4410"/>
        <w:rPr>
          <w:color w:val="auto"/>
          <w:highlight w:val="none"/>
        </w:rPr>
      </w:pPr>
    </w:p>
    <w:p>
      <w:pPr>
        <w:pStyle w:val="6"/>
        <w:ind w:left="4410"/>
        <w:jc w:val="left"/>
        <w:rPr>
          <w:color w:val="auto"/>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二、乙方权责</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(一)权利</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1、有权要求甲方提供维护保养所需的工作环境及相关资料；</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2、有权拒绝甲方提出的影响电梯安全运行的要求；</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3、如电/扶梯及其附属设施出现的故障或问题导致电梯运行或乙方工作存在安全隐患的，乙方有权暂停服务。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(二)义务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1、应当具备特种设备安全监督管理部门核发的《特种设备安装改造维修许可证》；</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2、自行配备工作所需的工具及设备，工作时设置现场安全警示标志，落实作业现场安全防护措施，保证作业安全；</w:t>
      </w:r>
      <w:r>
        <w:rPr>
          <w:rFonts w:hint="eastAsia" w:ascii="宋体" w:hAnsi="宋体" w:eastAsia="宋体" w:cs="宋体"/>
          <w:color w:val="auto"/>
          <w:sz w:val="24"/>
          <w:highlight w:val="none"/>
        </w:rPr>
        <w:t>乙方操作不当或安全防护不到位引起的责任及事故，由乙方全额承担</w:t>
      </w:r>
      <w:r>
        <w:rPr>
          <w:rFonts w:hint="eastAsia" w:ascii="宋体" w:hAnsi="宋体" w:eastAsia="宋体" w:cs="宋体"/>
          <w:color w:val="auto"/>
          <w:sz w:val="24"/>
          <w:highlight w:val="none"/>
          <w:lang w:eastAsia="zh-CN"/>
        </w:rPr>
        <w:t>。</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3、随时听取甲方的反馈，对不正常的运行状况，做认真分析及纠正；配合特种设备安全监督管理部门对电梯的年检；</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4、按照特种设备安全管理规范定期对电梯进行维护保养，每月维护2次，保证接到故障通知后</w:t>
      </w:r>
      <w:r>
        <w:rPr>
          <w:rFonts w:hint="eastAsia" w:ascii="宋体" w:hAnsi="宋体" w:eastAsia="宋体" w:cs="宋体"/>
          <w:color w:val="auto"/>
          <w:sz w:val="24"/>
          <w:highlight w:val="none"/>
          <w:lang w:val="en-US" w:eastAsia="zh-CN"/>
        </w:rPr>
        <w:t>30分钟内到达现场，根据情况及时</w:t>
      </w:r>
      <w:r>
        <w:rPr>
          <w:rFonts w:hint="eastAsia" w:ascii="宋体" w:hAnsi="宋体" w:eastAsia="宋体" w:cs="宋体"/>
          <w:color w:val="auto"/>
          <w:sz w:val="24"/>
          <w:highlight w:val="none"/>
        </w:rPr>
        <w:t>予以排除，接到电梯困人故障报告后，</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分钟内到达现场实施救援；</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5、由乙方负责办理政府安全检测机构对电梯的年检工作，负责完成年检中发生的属于本合同范围内的工作，甲方应当予以必要的协助；</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6、维护保养严格按照国家电梯维护保养标准，定期对甲方电梯进行例行维护保养工作，保证电梯始终处于良好的运行状态，并确保电梯年检合格率达到100%（乙方在自检时发现配件损坏需要更换的，由于甲方不能及时落实，造成电梯年检不合格的除外）；</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7、每年对电梯进行壹次全面的技术检验，详细检查所有机械、电气、安全设施的工作状况，修复更换磨损的主要部件，确保年检合格；</w:t>
      </w:r>
    </w:p>
    <w:p>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8、当电梯零配件发生损坏需要更换时，电梯配件</w:t>
      </w:r>
      <w:r>
        <w:rPr>
          <w:rFonts w:hint="eastAsia" w:ascii="宋体" w:hAnsi="宋体" w:eastAsia="宋体" w:cs="宋体"/>
          <w:color w:val="auto"/>
          <w:sz w:val="24"/>
          <w:highlight w:val="none"/>
          <w:lang w:val="en-US" w:eastAsia="zh-CN"/>
        </w:rPr>
        <w:t>单件单价</w:t>
      </w:r>
      <w:r>
        <w:rPr>
          <w:rFonts w:hint="eastAsia" w:ascii="宋体" w:hAnsi="宋体" w:eastAsia="宋体" w:cs="宋体"/>
          <w:color w:val="auto"/>
          <w:sz w:val="24"/>
          <w:highlight w:val="none"/>
        </w:rPr>
        <w:t>费用在人民币</w:t>
      </w:r>
      <w:r>
        <w:rPr>
          <w:rFonts w:hint="eastAsia" w:ascii="宋体" w:hAnsi="宋体" w:eastAsia="宋体" w:cs="宋体"/>
          <w:color w:val="auto"/>
          <w:sz w:val="24"/>
          <w:highlight w:val="none"/>
          <w:u w:val="single"/>
        </w:rPr>
        <w:t xml:space="preserve"> 壹仟元  </w:t>
      </w:r>
      <w:r>
        <w:rPr>
          <w:rFonts w:hint="eastAsia" w:ascii="宋体" w:hAnsi="宋体" w:eastAsia="宋体" w:cs="宋体"/>
          <w:color w:val="auto"/>
          <w:sz w:val="24"/>
          <w:highlight w:val="none"/>
        </w:rPr>
        <w:t>整（</w:t>
      </w:r>
      <w:r>
        <w:rPr>
          <w:rFonts w:hint="eastAsia" w:ascii="宋体" w:hAnsi="宋体" w:eastAsia="宋体" w:cs="宋体"/>
          <w:color w:val="auto"/>
          <w:sz w:val="24"/>
          <w:highlight w:val="none"/>
          <w:u w:val="single"/>
        </w:rPr>
        <w:t>10</w:t>
      </w:r>
      <w:r>
        <w:rPr>
          <w:rFonts w:ascii="宋体" w:hAnsi="宋体" w:eastAsia="宋体" w:cs="宋体"/>
          <w:color w:val="auto"/>
          <w:sz w:val="24"/>
          <w:highlight w:val="none"/>
          <w:u w:val="single"/>
        </w:rPr>
        <w:t>00</w:t>
      </w:r>
      <w:r>
        <w:rPr>
          <w:rFonts w:hint="eastAsia" w:ascii="宋体" w:hAnsi="宋体" w:eastAsia="宋体" w:cs="宋体"/>
          <w:color w:val="auto"/>
          <w:sz w:val="24"/>
          <w:highlight w:val="none"/>
        </w:rPr>
        <w:t>元)以内的费用由乙方免费提供(因人为损坏和不可抗力如地震、火灾、水灾等原因除外)，</w:t>
      </w:r>
      <w:r>
        <w:rPr>
          <w:rFonts w:hint="eastAsia" w:ascii="宋体" w:hAnsi="宋体" w:eastAsia="宋体" w:cs="宋体"/>
          <w:color w:val="auto"/>
          <w:sz w:val="24"/>
          <w:highlight w:val="none"/>
          <w:lang w:val="en-US" w:eastAsia="zh-CN"/>
        </w:rPr>
        <w:t>单件单价</w:t>
      </w:r>
      <w:r>
        <w:rPr>
          <w:rFonts w:hint="eastAsia" w:ascii="宋体" w:hAnsi="宋体" w:eastAsia="宋体" w:cs="宋体"/>
          <w:color w:val="auto"/>
          <w:sz w:val="24"/>
          <w:highlight w:val="none"/>
        </w:rPr>
        <w:t>超出以上的费用的由甲方另行支付</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乙方的电梯配件</w:t>
      </w:r>
      <w:r>
        <w:rPr>
          <w:rFonts w:hint="eastAsia" w:ascii="宋体" w:hAnsi="宋体" w:eastAsia="宋体" w:cs="宋体"/>
          <w:color w:val="auto"/>
          <w:sz w:val="24"/>
          <w:highlight w:val="none"/>
        </w:rPr>
        <w:t>单价不得高于市场水平，否则按甲方了解的市场价定价</w:t>
      </w:r>
      <w:r>
        <w:rPr>
          <w:rFonts w:hint="eastAsia" w:ascii="宋体" w:hAnsi="宋体" w:eastAsia="宋体" w:cs="宋体"/>
          <w:color w:val="auto"/>
          <w:sz w:val="24"/>
          <w:highlight w:val="none"/>
          <w:lang w:val="en-US" w:eastAsia="zh-CN"/>
        </w:rPr>
        <w:t>结算</w:t>
      </w:r>
      <w:r>
        <w:rPr>
          <w:rFonts w:hint="eastAsia" w:ascii="宋体" w:hAnsi="宋体" w:eastAsia="宋体" w:cs="宋体"/>
          <w:color w:val="auto"/>
          <w:sz w:val="24"/>
          <w:highlight w:val="none"/>
        </w:rPr>
        <w:t>。</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9、乙方所进行的维护工作都应填写《电梯日常维护保养纪录》,电梯配件更换时乙方维保人员须填写《电梯配件更换回执》，并经甲方电梯管理人员签字确认。甲方有权随时抽查；</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10、乙方应自备保养及急修所需的仪器、仪表、工具和交通设施；</w:t>
      </w: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三、乙方免责条款</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(一)因非乙方责任导致的电梯设备丢失、损环、合同履行的延误以及甲方或任何第三方的损失，乙方不承担责任；</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(二)因甲方未及时处理乙方所提出的合理建议所产生的事故，或乙方暂停/终止履行合同,于该期间产生事故、经济损失及相关行政处罚的，乙方不承担责任；</w:t>
      </w:r>
    </w:p>
    <w:p>
      <w:pPr>
        <w:spacing w:line="360" w:lineRule="auto"/>
        <w:rPr>
          <w:rFonts w:ascii="宋体" w:hAnsi="宋体" w:eastAsia="宋体" w:cs="宋体"/>
          <w:strike w:val="0"/>
          <w:dstrike w:val="0"/>
          <w:color w:val="auto"/>
          <w:sz w:val="24"/>
          <w:highlight w:val="none"/>
          <w:u w:val="none"/>
        </w:rPr>
      </w:pPr>
      <w:r>
        <w:rPr>
          <w:rFonts w:hint="eastAsia" w:ascii="宋体" w:hAnsi="宋体" w:eastAsia="宋体" w:cs="宋体"/>
          <w:color w:val="auto"/>
          <w:sz w:val="24"/>
          <w:highlight w:val="none"/>
        </w:rPr>
        <w:t>(三)</w:t>
      </w:r>
      <w:r>
        <w:rPr>
          <w:rFonts w:hint="eastAsia" w:ascii="宋体" w:hAnsi="宋体" w:eastAsia="宋体" w:cs="宋体"/>
          <w:strike w:val="0"/>
          <w:dstrike w:val="0"/>
          <w:color w:val="auto"/>
          <w:sz w:val="24"/>
          <w:highlight w:val="none"/>
          <w:u w:val="none"/>
        </w:rPr>
        <w:t>乙方应为本合同约定实施电梯维保的人员购买人身意外伤害险。</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(四)由于自然灾害如：暴风雪、闪电、洪水、台风、火灾、飓风、地震、山崩造成的电梯故障或事故乙方不承担责任，战争、封锁、恐怖主义事件、暴乱、动乱、破坏活动造成的损失乙方不承担责任。</w:t>
      </w: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四、乙方维修保养人员的授权及相关要求</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（一）出于安全的需要，甲方不能自行或者允许非乙方人员，或未经乙方允许的员工以及其他人员修理、改动、变更、干扰设备的任何部件。否则，对由此产生的损失，乙方不负任何责任，并保留索赔的权利；</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（二）出现紧急召修的情况，甲方未及时通知乙方而导致现场故障排除措施的延误及扩大损失的，全部损失均由甲方负责承担；</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（三）乙方维修保养人员必须持证上岗；</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（四）乙方应将维修保养人员名单提交给甲方，如有更换应及时通知甲方。</w:t>
      </w:r>
    </w:p>
    <w:p>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第三部分  争议解决方式</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本合同所引起的争议，甲乙双方应协商解决，如协商不成，应向乙方所在地有管辖权的人民法院提起诉讼。</w:t>
      </w:r>
    </w:p>
    <w:p>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第四部分  附则</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叁</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贰</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壹</w:t>
      </w:r>
      <w:r>
        <w:rPr>
          <w:rFonts w:hint="eastAsia" w:ascii="宋体" w:hAnsi="宋体" w:eastAsia="宋体" w:cs="宋体"/>
          <w:color w:val="auto"/>
          <w:sz w:val="24"/>
          <w:highlight w:val="none"/>
        </w:rPr>
        <w:t>份。附件与本合同具有同等的法律效力。</w:t>
      </w:r>
    </w:p>
    <w:p>
      <w:pPr>
        <w:spacing w:line="360" w:lineRule="auto"/>
        <w:jc w:val="center"/>
        <w:rPr>
          <w:rFonts w:ascii="宋体" w:hAnsi="宋体" w:eastAsia="宋体" w:cs="宋体"/>
          <w:color w:val="auto"/>
          <w:sz w:val="24"/>
          <w:highlight w:val="none"/>
        </w:rPr>
      </w:pPr>
    </w:p>
    <w:p>
      <w:pPr>
        <w:spacing w:line="360" w:lineRule="auto"/>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lang w:val="en-US" w:eastAsia="zh-CN"/>
        </w:rPr>
        <w:t>上海中高后勤服务（集团）有限公司</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昆明东富电梯有限公司</w:t>
      </w:r>
      <w:r>
        <w:rPr>
          <w:rFonts w:hint="eastAsia" w:ascii="宋体" w:hAnsi="宋体" w:eastAsia="宋体" w:cs="宋体"/>
          <w:color w:val="auto"/>
          <w:sz w:val="24"/>
          <w:highlight w:val="none"/>
        </w:rPr>
        <w:t>(盖章)</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法定代表人或授权代表人(签字)：</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联系电话：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联系电话：</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日期：</w:t>
      </w:r>
    </w:p>
    <w:p>
      <w:pPr>
        <w:rPr>
          <w:rFonts w:eastAsia="楷体_GB2312"/>
          <w:color w:val="auto"/>
          <w:sz w:val="52"/>
          <w:highlight w:val="none"/>
        </w:rPr>
      </w:pPr>
      <w:r>
        <w:rPr>
          <w:rFonts w:hint="eastAsia" w:eastAsia="楷体_GB2312"/>
          <w:color w:val="auto"/>
          <w:sz w:val="52"/>
          <w:highlight w:val="none"/>
        </w:rPr>
        <w:br w:type="page"/>
      </w:r>
    </w:p>
    <w:p>
      <w:pPr>
        <w:rPr>
          <w:rFonts w:ascii="宋体" w:hAnsi="宋体" w:eastAsia="宋体" w:cs="宋体"/>
          <w:color w:val="auto"/>
          <w:sz w:val="32"/>
          <w:szCs w:val="32"/>
          <w:highlight w:val="none"/>
        </w:rPr>
      </w:pPr>
      <w:r>
        <w:rPr>
          <w:rFonts w:hint="eastAsia" w:eastAsia="楷体_GB2312"/>
          <w:color w:val="auto"/>
          <w:sz w:val="32"/>
          <w:szCs w:val="32"/>
          <w:highlight w:val="none"/>
        </w:rPr>
        <w:t xml:space="preserve"> 附件一：</w:t>
      </w:r>
      <w:r>
        <w:rPr>
          <w:rFonts w:hint="eastAsia" w:ascii="宋体" w:hAnsi="宋体" w:eastAsia="宋体" w:cs="宋体"/>
          <w:color w:val="auto"/>
          <w:sz w:val="32"/>
          <w:szCs w:val="32"/>
          <w:highlight w:val="none"/>
        </w:rPr>
        <w:t>电梯维保常用免费配件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744"/>
        <w:gridCol w:w="2835"/>
        <w:gridCol w:w="1724"/>
        <w:gridCol w:w="1863"/>
        <w:gridCol w:w="13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679" w:type="dxa"/>
            <w:vMerge w:val="restart"/>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垂直电梯</w:t>
            </w:r>
          </w:p>
        </w:tc>
        <w:tc>
          <w:tcPr>
            <w:tcW w:w="744" w:type="dxa"/>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序号</w:t>
            </w:r>
          </w:p>
        </w:tc>
        <w:tc>
          <w:tcPr>
            <w:tcW w:w="2835" w:type="dxa"/>
            <w:noWrap/>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名称</w:t>
            </w:r>
          </w:p>
        </w:tc>
        <w:tc>
          <w:tcPr>
            <w:tcW w:w="1724" w:type="dxa"/>
            <w:noWrap/>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单位</w:t>
            </w:r>
          </w:p>
        </w:tc>
        <w:tc>
          <w:tcPr>
            <w:tcW w:w="1863" w:type="dxa"/>
            <w:noWrap/>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价格（元）</w:t>
            </w:r>
          </w:p>
        </w:tc>
        <w:tc>
          <w:tcPr>
            <w:tcW w:w="1333" w:type="dxa"/>
            <w:vAlign w:val="center"/>
          </w:tcPr>
          <w:p>
            <w:pPr>
              <w:jc w:val="center"/>
              <w:rPr>
                <w:rFonts w:ascii="宋体" w:hAnsi="宋体" w:eastAsia="宋体" w:cs="宋体"/>
                <w:bCs/>
                <w:color w:val="auto"/>
                <w:highlight w:val="none"/>
              </w:rPr>
            </w:pPr>
            <w:r>
              <w:rPr>
                <w:rFonts w:hint="eastAsia" w:ascii="宋体" w:hAnsi="宋体" w:eastAsia="宋体" w:cs="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电梯门滑块</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轿门滑块</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油杯</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油毛毡</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UKS开关</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厅门三角锁</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厅门偏心轮</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积油盒</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靴衬</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内呼按钮片</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外呼按钮片</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color w:val="auto"/>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整流器</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863"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继电器底座</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门锁副触点开关</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679" w:type="dxa"/>
            <w:vMerge w:val="continue"/>
            <w:shd w:val="clear" w:color="FFFFFF" w:fill="FFFFFF"/>
            <w:vAlign w:val="center"/>
          </w:tcPr>
          <w:p>
            <w:pPr>
              <w:jc w:val="center"/>
              <w:rPr>
                <w:rFonts w:ascii="宋体" w:hAnsi="宋体" w:eastAsia="宋体" w:cs="宋体"/>
                <w:bCs/>
                <w:color w:val="auto"/>
                <w:sz w:val="22"/>
                <w:szCs w:val="22"/>
                <w:highlight w:val="none"/>
              </w:rPr>
            </w:pPr>
          </w:p>
        </w:tc>
        <w:tc>
          <w:tcPr>
            <w:tcW w:w="744"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w:t>
            </w:r>
          </w:p>
        </w:tc>
        <w:tc>
          <w:tcPr>
            <w:tcW w:w="2835"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门锁主触点开关</w:t>
            </w:r>
          </w:p>
        </w:tc>
        <w:tc>
          <w:tcPr>
            <w:tcW w:w="1724"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863" w:type="dxa"/>
            <w:shd w:val="clear" w:color="FFFFFF" w:fill="FFFFFF"/>
            <w:noWrap/>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p>
        </w:tc>
        <w:tc>
          <w:tcPr>
            <w:tcW w:w="1333" w:type="dxa"/>
            <w:shd w:val="clear" w:color="FFFFFF" w:fill="FFFFFF"/>
            <w:vAlign w:val="center"/>
          </w:tcPr>
          <w:p>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免费</w:t>
            </w:r>
          </w:p>
        </w:tc>
      </w:tr>
    </w:tbl>
    <w:p>
      <w:pPr>
        <w:rPr>
          <w:rFonts w:ascii="Calibri" w:hAnsi="Calibri" w:eastAsia="宋体" w:cs="Times New Roman"/>
          <w:color w:val="auto"/>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pPr>
        <w:spacing w:line="540" w:lineRule="atLeast"/>
        <w:jc w:val="center"/>
        <w:rPr>
          <w:rFonts w:ascii="宋体" w:hAnsi="宋体" w:eastAsia="宋体" w:cs="宋体"/>
          <w:bCs/>
          <w:color w:val="auto"/>
          <w:spacing w:val="4"/>
          <w:sz w:val="24"/>
          <w:highlight w:val="none"/>
        </w:rPr>
      </w:pPr>
      <w:r>
        <w:rPr>
          <w:rFonts w:hint="eastAsia" w:ascii="宋体" w:hAnsi="宋体" w:eastAsia="宋体" w:cs="宋体"/>
          <w:bCs/>
          <w:color w:val="auto"/>
          <w:sz w:val="32"/>
          <w:szCs w:val="32"/>
          <w:highlight w:val="none"/>
        </w:rPr>
        <w:t xml:space="preserve">附件二：      </w:t>
      </w:r>
      <w:r>
        <w:rPr>
          <w:rFonts w:hint="eastAsia" w:ascii="宋体" w:hAnsi="宋体" w:eastAsia="宋体" w:cs="宋体"/>
          <w:color w:val="auto"/>
          <w:sz w:val="32"/>
          <w:szCs w:val="32"/>
          <w:highlight w:val="none"/>
        </w:rPr>
        <w:t>常用配件价格表（1000元以下）</w:t>
      </w:r>
    </w:p>
    <w:tbl>
      <w:tblPr>
        <w:tblStyle w:val="10"/>
        <w:tblpPr w:leftFromText="180" w:rightFromText="180" w:vertAnchor="text" w:horzAnchor="page" w:tblpX="1732" w:tblpY="-11423"/>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00" w:hRule="atLeast"/>
        </w:trPr>
        <w:tc>
          <w:tcPr>
            <w:tcW w:w="9245" w:type="dxa"/>
            <w:tcBorders>
              <w:top w:val="nil"/>
              <w:left w:val="nil"/>
              <w:bottom w:val="nil"/>
              <w:right w:val="nil"/>
            </w:tcBorders>
            <w:tcMar>
              <w:top w:w="15" w:type="dxa"/>
              <w:left w:w="15" w:type="dxa"/>
              <w:right w:w="15" w:type="dxa"/>
            </w:tcMar>
            <w:vAlign w:val="center"/>
          </w:tcPr>
          <w:p>
            <w:pPr>
              <w:spacing w:line="500" w:lineRule="exact"/>
              <w:jc w:val="center"/>
              <w:rPr>
                <w:rFonts w:ascii="宋体" w:hAnsi="宋体" w:eastAsia="宋体" w:cs="宋体"/>
                <w:bCs/>
                <w:color w:val="auto"/>
                <w:sz w:val="32"/>
                <w:szCs w:val="32"/>
                <w:highlight w:val="none"/>
              </w:rPr>
            </w:pPr>
          </w:p>
        </w:tc>
      </w:tr>
    </w:tbl>
    <w:p>
      <w:pPr>
        <w:rPr>
          <w:rFonts w:ascii="Calibri" w:hAnsi="Calibri" w:eastAsia="宋体" w:cs="Times New Roman"/>
          <w:vanish/>
          <w:color w:val="auto"/>
          <w:highlight w:val="none"/>
        </w:rPr>
      </w:pP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
        <w:gridCol w:w="634"/>
        <w:gridCol w:w="488"/>
        <w:gridCol w:w="2126"/>
        <w:gridCol w:w="3260"/>
        <w:gridCol w:w="1118"/>
        <w:gridCol w:w="1063"/>
        <w:gridCol w:w="15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类别</w:t>
            </w:r>
          </w:p>
        </w:tc>
        <w:tc>
          <w:tcPr>
            <w:tcW w:w="488"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126"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3260"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18"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1063"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价格（元）</w:t>
            </w:r>
          </w:p>
        </w:tc>
        <w:tc>
          <w:tcPr>
            <w:tcW w:w="1588"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显示类</w:t>
            </w: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1</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开关电源盒</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D-60B</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件</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490</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2</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开关电源盒</w:t>
            </w:r>
          </w:p>
        </w:tc>
        <w:tc>
          <w:tcPr>
            <w:tcW w:w="3260"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NES-75-24</w:t>
            </w:r>
          </w:p>
        </w:tc>
        <w:tc>
          <w:tcPr>
            <w:tcW w:w="1118"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件</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318</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w:t>
            </w:r>
          </w:p>
        </w:tc>
        <w:tc>
          <w:tcPr>
            <w:tcW w:w="2126" w:type="dxa"/>
            <w:noWrap/>
            <w:vAlign w:val="center"/>
          </w:tcPr>
          <w:p>
            <w:pPr>
              <w:snapToGrid w:val="0"/>
              <w:ind w:firstLine="220" w:firstLineChars="10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轿厢扩展板</w:t>
            </w:r>
          </w:p>
        </w:tc>
        <w:tc>
          <w:tcPr>
            <w:tcW w:w="3260"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SM6300-04</w:t>
            </w:r>
          </w:p>
        </w:tc>
        <w:tc>
          <w:tcPr>
            <w:tcW w:w="1118"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快</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275</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4</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普通液晶外召板</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SM6300-03LV</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块</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900</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5</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超薄液晶外召板</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SM6300-03LV</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块</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900</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普通点阵外召板</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SM6300-03</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块</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740</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超薄点阵外召板</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SM6300-03V</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块</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740</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8</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外召壳体</w:t>
            </w:r>
          </w:p>
        </w:tc>
        <w:tc>
          <w:tcPr>
            <w:tcW w:w="3260" w:type="dxa"/>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HHP67/HHP68/HHP90</w:t>
            </w:r>
          </w:p>
        </w:tc>
        <w:tc>
          <w:tcPr>
            <w:tcW w:w="1118" w:type="dxa"/>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件</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636</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vAlign w:val="center"/>
          </w:tcPr>
          <w:p>
            <w:pPr>
              <w:snapToGrid w:val="0"/>
              <w:jc w:val="center"/>
              <w:rPr>
                <w:rFonts w:ascii="宋体" w:hAnsi="宋体" w:eastAsia="宋体" w:cs="宋体"/>
                <w:bCs/>
                <w:color w:val="auto"/>
                <w:sz w:val="22"/>
                <w:szCs w:val="22"/>
                <w:highlight w:val="none"/>
              </w:rPr>
            </w:pPr>
          </w:p>
        </w:tc>
        <w:tc>
          <w:tcPr>
            <w:tcW w:w="488"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p>
        </w:tc>
        <w:tc>
          <w:tcPr>
            <w:tcW w:w="2126"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超薄点阵外召板</w:t>
            </w:r>
          </w:p>
        </w:tc>
        <w:tc>
          <w:tcPr>
            <w:tcW w:w="3260" w:type="dxa"/>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SM6800-03V</w:t>
            </w:r>
          </w:p>
        </w:tc>
        <w:tc>
          <w:tcPr>
            <w:tcW w:w="1118"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块</w:t>
            </w:r>
          </w:p>
        </w:tc>
        <w:tc>
          <w:tcPr>
            <w:tcW w:w="1063" w:type="dxa"/>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848</w:t>
            </w:r>
          </w:p>
        </w:tc>
        <w:tc>
          <w:tcPr>
            <w:tcW w:w="1588" w:type="dxa"/>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对讲通讯</w:t>
            </w: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对讲外置副机</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NKT12(1-1)B1</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490</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对讲内置副机</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NKT12(1-1)B</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160</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机房对讲机</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NKT12(1-1)1A</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220</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到站钟</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RKE12B</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对讲应急电源</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PKP220/12</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330</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地坑对讲</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NKT12(1-1)B2</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台</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265</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平层灯应急照明电源</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PKP220/12V</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330</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w:t>
            </w:r>
          </w:p>
        </w:tc>
        <w:tc>
          <w:tcPr>
            <w:tcW w:w="2126"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对讲解码器</w:t>
            </w:r>
          </w:p>
        </w:tc>
        <w:tc>
          <w:tcPr>
            <w:tcW w:w="3260"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410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门机皮带</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SZPO-1041L</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条</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300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永磁平层感应器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GLS126</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477</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控制柜开关电源</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PSW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3RT60 26-1AN20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3RT60 27-1AN20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477</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辅助触头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3TH59 21-1EA11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106</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辅助触头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3TH59 21-1EA11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53</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3RH6140-1AN20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3RH6140-1AN208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中间继电器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3RH6140-1AF00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触头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F3-4D</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节能继电器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DRM2700241L线圈/FS2CO底座</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门锁接触器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MG2D AC110V</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节能继电器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DRM2700241L线圈/FS2CO底座</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100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3RT60 28-1AN20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530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3RT50 36-1AN20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795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CJX4-2508DT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电源接触器</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3RT6028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570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信号开关</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光电开关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GLS126</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740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欧姆龙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称重光电开关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SS-R</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欧姆龙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相序开关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XJ12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限位开关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HS-1370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涨紧轮开关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UKS</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双稳态开关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MKJ131-03</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华远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急停盒</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KKB4-3C</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按钮</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HB215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按钮芯片</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HB215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机械类</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滑块</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SMHK-10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小油杯</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ZK11071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大油杯</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ZK11070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三角锁</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NBL</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三角钥匙</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NBL-A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T-DX-H1B 16mm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51</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T-DX-H46mm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53</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52</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DX10A 16/10mm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64</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53</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DX1B 16mm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54</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对重导靴滚轮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55</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轿厢滚动导靴轮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56</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导靴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T-DX-H46mm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128</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57</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靴衬</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轿厢滚动导靴轮</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615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58</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导靴</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DX10A 16/10mm</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59</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轿厢机械连锁开关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D4NS-1AF</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60</w:t>
            </w:r>
          </w:p>
        </w:tc>
        <w:tc>
          <w:tcPr>
            <w:tcW w:w="2126"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层门机械连锁开关</w:t>
            </w:r>
          </w:p>
        </w:tc>
        <w:tc>
          <w:tcPr>
            <w:tcW w:w="3260"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EE-SPY301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61</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扩展板</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SM6300-04</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635</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62</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抱闸板</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BRAKF</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块</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690</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63</w:t>
            </w:r>
          </w:p>
        </w:tc>
        <w:tc>
          <w:tcPr>
            <w:tcW w:w="212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底坑检修盒</w:t>
            </w:r>
          </w:p>
        </w:tc>
        <w:tc>
          <w:tcPr>
            <w:tcW w:w="3260"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6154ABRC2</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530</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line="540" w:lineRule="atLeast"/>
        <w:jc w:val="center"/>
        <w:rPr>
          <w:rFonts w:ascii="宋体" w:hAnsi="宋体" w:eastAsia="宋体" w:cs="宋体"/>
          <w:bCs/>
          <w:color w:val="auto"/>
          <w:sz w:val="32"/>
          <w:szCs w:val="32"/>
          <w:highlight w:val="none"/>
        </w:rPr>
      </w:pPr>
    </w:p>
    <w:p>
      <w:pPr>
        <w:spacing w:line="540" w:lineRule="atLeast"/>
        <w:jc w:val="center"/>
        <w:rPr>
          <w:rFonts w:ascii="宋体" w:hAnsi="宋体" w:eastAsia="宋体" w:cs="宋体"/>
          <w:bCs/>
          <w:color w:val="auto"/>
          <w:sz w:val="32"/>
          <w:szCs w:val="32"/>
          <w:highlight w:val="none"/>
        </w:rPr>
      </w:pPr>
    </w:p>
    <w:p>
      <w:pPr>
        <w:pStyle w:val="2"/>
        <w:ind w:firstLine="420"/>
        <w:rPr>
          <w:color w:val="auto"/>
          <w:highlight w:val="none"/>
        </w:rPr>
      </w:pPr>
    </w:p>
    <w:p>
      <w:pPr>
        <w:spacing w:line="540" w:lineRule="atLeast"/>
        <w:jc w:val="center"/>
        <w:rPr>
          <w:rFonts w:ascii="宋体" w:hAnsi="宋体" w:eastAsia="宋体" w:cs="宋体"/>
          <w:bCs/>
          <w:color w:val="auto"/>
          <w:spacing w:val="4"/>
          <w:sz w:val="24"/>
          <w:highlight w:val="none"/>
        </w:rPr>
      </w:pPr>
      <w:r>
        <w:rPr>
          <w:rFonts w:hint="eastAsia" w:ascii="宋体" w:hAnsi="宋体" w:eastAsia="宋体" w:cs="宋体"/>
          <w:bCs/>
          <w:color w:val="auto"/>
          <w:sz w:val="32"/>
          <w:szCs w:val="32"/>
          <w:highlight w:val="none"/>
        </w:rPr>
        <w:t xml:space="preserve">附件三：      </w:t>
      </w:r>
      <w:r>
        <w:rPr>
          <w:rFonts w:hint="eastAsia" w:ascii="宋体" w:hAnsi="宋体" w:eastAsia="宋体" w:cs="宋体"/>
          <w:color w:val="auto"/>
          <w:sz w:val="32"/>
          <w:szCs w:val="32"/>
          <w:highlight w:val="none"/>
        </w:rPr>
        <w:t>常用配件价格表（1000元以上）</w:t>
      </w:r>
    </w:p>
    <w:tbl>
      <w:tblPr>
        <w:tblStyle w:val="10"/>
        <w:tblpPr w:leftFromText="180" w:rightFromText="180" w:vertAnchor="text" w:horzAnchor="page" w:tblpX="1732" w:tblpY="-11423"/>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00" w:hRule="atLeast"/>
        </w:trPr>
        <w:tc>
          <w:tcPr>
            <w:tcW w:w="9245" w:type="dxa"/>
            <w:tcBorders>
              <w:top w:val="nil"/>
              <w:left w:val="nil"/>
              <w:bottom w:val="nil"/>
              <w:right w:val="nil"/>
            </w:tcBorders>
            <w:tcMar>
              <w:top w:w="15" w:type="dxa"/>
              <w:left w:w="15" w:type="dxa"/>
              <w:right w:w="15" w:type="dxa"/>
            </w:tcMar>
            <w:vAlign w:val="center"/>
          </w:tcPr>
          <w:p>
            <w:pPr>
              <w:spacing w:line="500" w:lineRule="exact"/>
              <w:jc w:val="center"/>
              <w:rPr>
                <w:rFonts w:ascii="宋体" w:hAnsi="宋体" w:eastAsia="宋体" w:cs="宋体"/>
                <w:bCs/>
                <w:color w:val="auto"/>
                <w:sz w:val="32"/>
                <w:szCs w:val="32"/>
                <w:highlight w:val="none"/>
              </w:rPr>
            </w:pPr>
          </w:p>
        </w:tc>
      </w:tr>
    </w:tbl>
    <w:p>
      <w:pPr>
        <w:rPr>
          <w:rFonts w:ascii="Calibri" w:hAnsi="Calibri" w:eastAsia="宋体" w:cs="Times New Roman"/>
          <w:vanish/>
          <w:color w:val="auto"/>
          <w:highlight w:val="none"/>
        </w:rPr>
      </w:pP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
        <w:gridCol w:w="634"/>
        <w:gridCol w:w="488"/>
        <w:gridCol w:w="2001"/>
        <w:gridCol w:w="3385"/>
        <w:gridCol w:w="1118"/>
        <w:gridCol w:w="1063"/>
        <w:gridCol w:w="15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类别</w:t>
            </w:r>
          </w:p>
        </w:tc>
        <w:tc>
          <w:tcPr>
            <w:tcW w:w="488"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001"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3385" w:type="dxa"/>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18"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1063"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价格（元）</w:t>
            </w:r>
          </w:p>
        </w:tc>
        <w:tc>
          <w:tcPr>
            <w:tcW w:w="1588" w:type="dxa"/>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restart"/>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显示类</w:t>
            </w: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轿厢显示板</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SM6300-03LLV</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1060</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轿厢液晶显示器</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SM6800-03LLV</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2650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轿内通讯板</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4030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群控板</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17490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366"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值班室主机</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NKT12(1-1)4A</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1590</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值班室主机</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NKT12(1-1)12A</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1485</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值班室主机</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NKT12(1-1)16A</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1590</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285"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值班室主机</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NKT12(1-1)22A</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2225</w:t>
            </w:r>
          </w:p>
        </w:tc>
        <w:tc>
          <w:tcPr>
            <w:tcW w:w="1588" w:type="dxa"/>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德凌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语音报站</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SM-YD</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2970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防夹人装置（光幕）</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WECO-957</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2755</w:t>
            </w:r>
          </w:p>
        </w:tc>
        <w:tc>
          <w:tcPr>
            <w:tcW w:w="158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285"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应急松闸电源（UPS）</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DK1060</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5088</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20" w:type="dxa"/>
          <w:trHeight w:val="90" w:hRule="atLeast"/>
          <w:jc w:val="center"/>
        </w:trPr>
        <w:tc>
          <w:tcPr>
            <w:tcW w:w="634" w:type="dxa"/>
            <w:vMerge w:val="continue"/>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w:t>
            </w:r>
          </w:p>
        </w:tc>
        <w:tc>
          <w:tcPr>
            <w:tcW w:w="2001"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门电机</w:t>
            </w:r>
          </w:p>
        </w:tc>
        <w:tc>
          <w:tcPr>
            <w:tcW w:w="3385" w:type="dxa"/>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YVP90-L</w:t>
            </w:r>
          </w:p>
        </w:tc>
        <w:tc>
          <w:tcPr>
            <w:tcW w:w="1118"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台</w:t>
            </w:r>
          </w:p>
        </w:tc>
        <w:tc>
          <w:tcPr>
            <w:tcW w:w="1063" w:type="dxa"/>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2760</w:t>
            </w:r>
          </w:p>
        </w:tc>
        <w:tc>
          <w:tcPr>
            <w:tcW w:w="1588" w:type="dxa"/>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0" w:hRule="atLeast"/>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控制系统</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门机变频器</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M440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件</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6890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主板</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SM6400-V1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11660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轿厢主板</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SM6300-02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2970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轿厢板-IC卡</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BL2000-CZB</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2970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IC卡读卡器</w:t>
            </w:r>
          </w:p>
        </w:tc>
        <w:tc>
          <w:tcPr>
            <w:tcW w:w="3385"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SJT-CIC-AV</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5830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w:t>
            </w:r>
          </w:p>
        </w:tc>
        <w:tc>
          <w:tcPr>
            <w:tcW w:w="2001"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再平层板</w:t>
            </w:r>
          </w:p>
        </w:tc>
        <w:tc>
          <w:tcPr>
            <w:tcW w:w="3385"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SM-SOD-V</w:t>
            </w:r>
          </w:p>
        </w:tc>
        <w:tc>
          <w:tcPr>
            <w:tcW w:w="1118"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single" w:color="auto" w:sz="4" w:space="0"/>
              <w:left w:val="single" w:color="auto" w:sz="4" w:space="0"/>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4875</w:t>
            </w:r>
          </w:p>
        </w:tc>
        <w:tc>
          <w:tcPr>
            <w:tcW w:w="1588"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19</w:t>
            </w:r>
          </w:p>
        </w:tc>
        <w:tc>
          <w:tcPr>
            <w:tcW w:w="2001" w:type="dxa"/>
            <w:tcBorders>
              <w:top w:val="single" w:color="auto" w:sz="4" w:space="0"/>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控制柜西威变频器</w:t>
            </w:r>
          </w:p>
        </w:tc>
        <w:tc>
          <w:tcPr>
            <w:tcW w:w="3385" w:type="dxa"/>
            <w:tcBorders>
              <w:top w:val="single" w:color="auto" w:sz="4" w:space="0"/>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AVY4221-EBLBR4   2.5/秒（22KW）</w:t>
            </w:r>
          </w:p>
        </w:tc>
        <w:tc>
          <w:tcPr>
            <w:tcW w:w="1118"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台</w:t>
            </w:r>
          </w:p>
        </w:tc>
        <w:tc>
          <w:tcPr>
            <w:tcW w:w="1063"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24380</w:t>
            </w:r>
          </w:p>
        </w:tc>
        <w:tc>
          <w:tcPr>
            <w:tcW w:w="1588" w:type="dxa"/>
            <w:tcBorders>
              <w:top w:val="single" w:color="auto" w:sz="4" w:space="0"/>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控制柜西威变频器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AVGL1185-XBLBR4  2.0/秒 （18.5KW）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台</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20140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控制柜西威变频器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AVGL1025-XBLBR4  1.75/秒 （15KW）</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台</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13780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变压器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BK-400VA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1988</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编码器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E6B2-CWZ6C</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4030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平层板</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SJT-ZPC-V2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3RT50 46-1AN20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1110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CJX4-4008DT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1007</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CJX4-6508DT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28</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CJX4-9508DT</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2225</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天水接触器</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CJX4-4008</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1220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西门子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restart"/>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机械类</w:t>
            </w: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轿顶轮 </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SMHK-10</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2150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导靴</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FN-GDX-004-轿厢滚动</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2990</w:t>
            </w:r>
          </w:p>
        </w:tc>
        <w:tc>
          <w:tcPr>
            <w:tcW w:w="158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color w:val="auto"/>
                <w:sz w:val="22"/>
                <w:szCs w:val="22"/>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对重高速滚轮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6032</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2385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轿厢高速滚轮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6004</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2600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曳引轮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SM520-5-10-15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8215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门挂板</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JMGB1-95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套</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曳引轮（高速）</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YJ245A</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9275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机房导向轮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JF400-5-10-15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2915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38</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轿顶导向轮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JO400-5-10-15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2517</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39</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对重导向轮</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DZ400-5-10-15</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2385</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654" w:type="dxa"/>
            <w:gridSpan w:val="2"/>
            <w:vMerge w:val="continue"/>
            <w:tcBorders>
              <w:left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p>
        </w:tc>
        <w:tc>
          <w:tcPr>
            <w:tcW w:w="488" w:type="dxa"/>
            <w:tcBorders>
              <w:top w:val="nil"/>
              <w:left w:val="single" w:color="auto" w:sz="4" w:space="0"/>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40</w:t>
            </w:r>
          </w:p>
        </w:tc>
        <w:tc>
          <w:tcPr>
            <w:tcW w:w="2001"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安全钳</w:t>
            </w:r>
          </w:p>
        </w:tc>
        <w:tc>
          <w:tcPr>
            <w:tcW w:w="3385" w:type="dxa"/>
            <w:tcBorders>
              <w:top w:val="nil"/>
              <w:left w:val="nil"/>
              <w:bottom w:val="single" w:color="auto" w:sz="4" w:space="0"/>
              <w:right w:val="single" w:color="auto" w:sz="4" w:space="0"/>
            </w:tcBorders>
            <w:shd w:val="clear" w:color="FFFFFF" w:fill="FFFFFF"/>
            <w:noWrap/>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AK01</w:t>
            </w:r>
          </w:p>
        </w:tc>
        <w:tc>
          <w:tcPr>
            <w:tcW w:w="1118"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个</w:t>
            </w:r>
          </w:p>
        </w:tc>
        <w:tc>
          <w:tcPr>
            <w:tcW w:w="1063" w:type="dxa"/>
            <w:tcBorders>
              <w:top w:val="nil"/>
              <w:left w:val="nil"/>
              <w:bottom w:val="single" w:color="auto" w:sz="4" w:space="0"/>
              <w:right w:val="single" w:color="auto" w:sz="4" w:space="0"/>
            </w:tcBorders>
            <w:shd w:val="clear" w:color="FFFFFF" w:fill="FFFFFF"/>
            <w:vAlign w:val="center"/>
          </w:tcPr>
          <w:p>
            <w:pPr>
              <w:snapToGrid w:val="0"/>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6230</w:t>
            </w:r>
          </w:p>
        </w:tc>
        <w:tc>
          <w:tcPr>
            <w:tcW w:w="1588" w:type="dxa"/>
            <w:tcBorders>
              <w:top w:val="nil"/>
              <w:left w:val="nil"/>
              <w:bottom w:val="single" w:color="auto" w:sz="4" w:space="0"/>
              <w:right w:val="single" w:color="auto" w:sz="4" w:space="0"/>
            </w:tcBorders>
            <w:shd w:val="clear" w:color="FFFFFF" w:fill="FFFFFF"/>
          </w:tcPr>
          <w:p>
            <w:pPr>
              <w:jc w:val="center"/>
              <w:rPr>
                <w:rFonts w:ascii="Calibri" w:hAnsi="Calibri" w:eastAsia="宋体" w:cs="Times New Roman"/>
                <w:color w:val="auto"/>
                <w:highlight w:val="none"/>
              </w:rPr>
            </w:pPr>
            <w:r>
              <w:rPr>
                <w:rFonts w:hint="eastAsia" w:ascii="宋体" w:hAnsi="宋体" w:eastAsia="宋体" w:cs="宋体"/>
                <w:bCs/>
                <w:color w:val="auto"/>
                <w:sz w:val="22"/>
                <w:szCs w:val="22"/>
                <w:highlight w:val="none"/>
              </w:rPr>
              <w:t>原装</w:t>
            </w:r>
          </w:p>
        </w:tc>
      </w:tr>
    </w:tbl>
    <w:p>
      <w:pPr>
        <w:rPr>
          <w:color w:val="auto"/>
          <w:sz w:val="32"/>
          <w:szCs w:val="32"/>
          <w:highlight w:val="none"/>
        </w:rPr>
      </w:pPr>
    </w:p>
    <w:p>
      <w:pPr>
        <w:ind w:firstLine="3840" w:firstLineChars="1200"/>
        <w:jc w:val="right"/>
        <w:rPr>
          <w:rFonts w:eastAsia="华文楷体"/>
          <w:color w:val="auto"/>
          <w:sz w:val="32"/>
          <w:szCs w:val="32"/>
          <w:highlight w:val="none"/>
        </w:rPr>
      </w:pPr>
      <w:r>
        <w:rPr>
          <w:rFonts w:hint="eastAsia"/>
          <w:color w:val="auto"/>
          <w:sz w:val="32"/>
          <w:szCs w:val="32"/>
          <w:highlight w:val="none"/>
        </w:rPr>
        <w:t>昆明东富电梯有限公司</w:t>
      </w:r>
    </w:p>
    <w:p>
      <w:pPr>
        <w:rPr>
          <w:rFonts w:ascii="宋体" w:hAnsi="宋体" w:cs="宋体"/>
          <w:bCs/>
          <w:color w:val="auto"/>
          <w:sz w:val="28"/>
          <w:szCs w:val="28"/>
          <w:highlight w:val="none"/>
        </w:rPr>
      </w:pPr>
      <w:r>
        <w:rPr>
          <w:rFonts w:hint="eastAsia" w:ascii="宋体" w:hAnsi="宋体" w:cs="宋体"/>
          <w:bCs/>
          <w:color w:val="auto"/>
          <w:sz w:val="28"/>
          <w:szCs w:val="28"/>
          <w:highlight w:val="none"/>
        </w:rPr>
        <w:br w:type="page"/>
      </w:r>
    </w:p>
    <w:p>
      <w:pPr>
        <w:rPr>
          <w:rFonts w:ascii="楷体" w:hAnsi="楷体"/>
          <w:color w:val="auto"/>
          <w:sz w:val="44"/>
          <w:szCs w:val="44"/>
          <w:highlight w:val="none"/>
        </w:rPr>
      </w:pPr>
      <w:r>
        <w:rPr>
          <w:rFonts w:hint="eastAsia" w:ascii="宋体" w:hAnsi="宋体" w:cs="宋体"/>
          <w:bCs/>
          <w:color w:val="auto"/>
          <w:sz w:val="28"/>
          <w:szCs w:val="28"/>
          <w:highlight w:val="none"/>
        </w:rPr>
        <w:t xml:space="preserve">附件四： </w:t>
      </w:r>
    </w:p>
    <w:p>
      <w:pPr>
        <w:pStyle w:val="4"/>
        <w:ind w:firstLine="3360" w:firstLineChars="1200"/>
        <w:rPr>
          <w:color w:val="auto"/>
          <w:highlight w:val="none"/>
        </w:rPr>
      </w:pPr>
      <w:bookmarkStart w:id="0" w:name="_Toc6288"/>
      <w:r>
        <w:rPr>
          <w:rFonts w:hint="eastAsia"/>
          <w:color w:val="auto"/>
          <w:highlight w:val="none"/>
        </w:rPr>
        <w:t>昆明东富营业执照</w:t>
      </w:r>
      <w:bookmarkEnd w:id="0"/>
    </w:p>
    <w:p>
      <w:pPr>
        <w:spacing w:line="360" w:lineRule="auto"/>
        <w:ind w:left="-2"/>
        <w:rPr>
          <w:color w:val="auto"/>
          <w:sz w:val="30"/>
          <w:szCs w:val="30"/>
          <w:highlight w:val="none"/>
        </w:rPr>
      </w:pPr>
      <w:r>
        <w:rPr>
          <w:color w:val="auto"/>
          <w:sz w:val="30"/>
          <w:szCs w:val="30"/>
          <w:highlight w:val="none"/>
        </w:rPr>
        <w:drawing>
          <wp:inline distT="0" distB="0" distL="114300" distR="114300">
            <wp:extent cx="5629275" cy="3938270"/>
            <wp:effectExtent l="0" t="0" r="9525" b="5080"/>
            <wp:docPr id="1" name="图片 1" descr="adbf548609e03fc3e91d9a0c0b0a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bf548609e03fc3e91d9a0c0b0a118"/>
                    <pic:cNvPicPr>
                      <a:picLocks noChangeAspect="1"/>
                    </pic:cNvPicPr>
                  </pic:nvPicPr>
                  <pic:blipFill>
                    <a:blip r:embed="rId5"/>
                    <a:stretch>
                      <a:fillRect/>
                    </a:stretch>
                  </pic:blipFill>
                  <pic:spPr>
                    <a:xfrm>
                      <a:off x="0" y="0"/>
                      <a:ext cx="5629275" cy="3938270"/>
                    </a:xfrm>
                    <a:prstGeom prst="rect">
                      <a:avLst/>
                    </a:prstGeom>
                    <a:noFill/>
                    <a:ln>
                      <a:noFill/>
                    </a:ln>
                  </pic:spPr>
                </pic:pic>
              </a:graphicData>
            </a:graphic>
          </wp:inline>
        </w:drawing>
      </w:r>
    </w:p>
    <w:p>
      <w:pPr>
        <w:rPr>
          <w:color w:val="auto"/>
          <w:sz w:val="30"/>
          <w:szCs w:val="30"/>
          <w:highlight w:val="none"/>
        </w:rPr>
      </w:pPr>
    </w:p>
    <w:p>
      <w:pPr>
        <w:pStyle w:val="4"/>
        <w:jc w:val="center"/>
        <w:rPr>
          <w:color w:val="auto"/>
          <w:highlight w:val="none"/>
        </w:rPr>
      </w:pPr>
      <w:bookmarkStart w:id="1" w:name="_Toc1826"/>
      <w:bookmarkStart w:id="2" w:name="_Toc18983"/>
      <w:r>
        <w:rPr>
          <w:rFonts w:hint="eastAsia"/>
          <w:color w:val="auto"/>
          <w:highlight w:val="none"/>
        </w:rPr>
        <w:t>昆明东富安装改造维修许可证</w:t>
      </w:r>
      <w:bookmarkEnd w:id="1"/>
    </w:p>
    <w:bookmarkEnd w:id="2"/>
    <w:p>
      <w:pPr>
        <w:rPr>
          <w:rFonts w:ascii="宋体" w:hAnsi="宋体" w:eastAsia="宋体" w:cs="Times New Roman"/>
          <w:color w:val="auto"/>
          <w:sz w:val="24"/>
          <w:highlight w:val="none"/>
        </w:rPr>
      </w:pPr>
      <w:r>
        <w:rPr>
          <w:rFonts w:hint="eastAsia" w:ascii="宋体" w:hAnsi="宋体" w:eastAsia="宋体" w:cs="Times New Roman"/>
          <w:b/>
          <w:color w:val="auto"/>
          <w:sz w:val="24"/>
          <w:highlight w:val="none"/>
        </w:rPr>
        <w:drawing>
          <wp:inline distT="0" distB="0" distL="114300" distR="114300">
            <wp:extent cx="5756275" cy="8081645"/>
            <wp:effectExtent l="0" t="0" r="15875" b="14605"/>
            <wp:docPr id="2" name="图片 2" descr="安装许可证2025（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装许可证2025（副本）.jpg"/>
                    <pic:cNvPicPr>
                      <a:picLocks noChangeAspect="1"/>
                    </pic:cNvPicPr>
                  </pic:nvPicPr>
                  <pic:blipFill>
                    <a:blip r:embed="rId6"/>
                    <a:stretch>
                      <a:fillRect/>
                    </a:stretch>
                  </pic:blipFill>
                  <pic:spPr>
                    <a:xfrm>
                      <a:off x="0" y="0"/>
                      <a:ext cx="5756275" cy="8081645"/>
                    </a:xfrm>
                    <a:prstGeom prst="rect">
                      <a:avLst/>
                    </a:prstGeom>
                    <a:noFill/>
                    <a:ln>
                      <a:noFill/>
                    </a:ln>
                  </pic:spPr>
                </pic:pic>
              </a:graphicData>
            </a:graphic>
          </wp:inline>
        </w:drawing>
      </w:r>
    </w:p>
    <w:sectPr>
      <w:footerReference r:id="rId3" w:type="default"/>
      <w:pgSz w:w="11906" w:h="16838"/>
      <w:pgMar w:top="1440" w:right="1253" w:bottom="1440" w:left="125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1" w:fontKey="{1316E6B5-5EA5-40F6-B9AA-0911E4F392BB}"/>
  </w:font>
  <w:font w:name="楷体">
    <w:panose1 w:val="02010609060101010101"/>
    <w:charset w:val="86"/>
    <w:family w:val="modern"/>
    <w:pitch w:val="default"/>
    <w:sig w:usb0="800002BF" w:usb1="38CF7CFA" w:usb2="00000016" w:usb3="00000000" w:csb0="00040001" w:csb1="00000000"/>
    <w:embedRegular r:id="rId2" w:fontKey="{8A21352F-95D9-4B40-B0F2-CABA4B9DD5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42095"/>
    <w:multiLevelType w:val="singleLevel"/>
    <w:tmpl w:val="EC742095"/>
    <w:lvl w:ilvl="0" w:tentative="0">
      <w:start w:val="1"/>
      <w:numFmt w:val="chineseCounting"/>
      <w:suff w:val="nothing"/>
      <w:lvlText w:val="第%1条、"/>
      <w:lvlJc w:val="left"/>
      <w:rPr>
        <w:rFonts w:hint="eastAsia"/>
      </w:rPr>
    </w:lvl>
  </w:abstractNum>
  <w:abstractNum w:abstractNumId="1">
    <w:nsid w:val="3AE2823C"/>
    <w:multiLevelType w:val="singleLevel"/>
    <w:tmpl w:val="3AE282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150E4490"/>
    <w:rsid w:val="00011ABB"/>
    <w:rsid w:val="0001313E"/>
    <w:rsid w:val="000B6B81"/>
    <w:rsid w:val="001368DD"/>
    <w:rsid w:val="00171289"/>
    <w:rsid w:val="00225E32"/>
    <w:rsid w:val="002620E9"/>
    <w:rsid w:val="0026752F"/>
    <w:rsid w:val="002D534A"/>
    <w:rsid w:val="003765AF"/>
    <w:rsid w:val="003C4829"/>
    <w:rsid w:val="003E622D"/>
    <w:rsid w:val="00400006"/>
    <w:rsid w:val="00453E11"/>
    <w:rsid w:val="00472489"/>
    <w:rsid w:val="00477255"/>
    <w:rsid w:val="004F5316"/>
    <w:rsid w:val="00502E5C"/>
    <w:rsid w:val="00514BC8"/>
    <w:rsid w:val="00526E33"/>
    <w:rsid w:val="005808F4"/>
    <w:rsid w:val="005A6D4E"/>
    <w:rsid w:val="00626E76"/>
    <w:rsid w:val="0067060B"/>
    <w:rsid w:val="006824C5"/>
    <w:rsid w:val="006C6D3A"/>
    <w:rsid w:val="0070360B"/>
    <w:rsid w:val="00791690"/>
    <w:rsid w:val="007C1E7D"/>
    <w:rsid w:val="0085568E"/>
    <w:rsid w:val="009623B5"/>
    <w:rsid w:val="009B04A8"/>
    <w:rsid w:val="00A81C0A"/>
    <w:rsid w:val="00AD19FA"/>
    <w:rsid w:val="00AE5D47"/>
    <w:rsid w:val="00B51C52"/>
    <w:rsid w:val="00B658CA"/>
    <w:rsid w:val="00C33B8E"/>
    <w:rsid w:val="00C72E2E"/>
    <w:rsid w:val="00CE4864"/>
    <w:rsid w:val="00D7592A"/>
    <w:rsid w:val="00DA041A"/>
    <w:rsid w:val="00E14046"/>
    <w:rsid w:val="00E46F94"/>
    <w:rsid w:val="00E64790"/>
    <w:rsid w:val="00E86D68"/>
    <w:rsid w:val="00EC635D"/>
    <w:rsid w:val="00EE78EE"/>
    <w:rsid w:val="00F16DD3"/>
    <w:rsid w:val="00F6324B"/>
    <w:rsid w:val="00F77DE9"/>
    <w:rsid w:val="00F920DA"/>
    <w:rsid w:val="00FC58A3"/>
    <w:rsid w:val="091D2295"/>
    <w:rsid w:val="0A0A5140"/>
    <w:rsid w:val="0C8748DF"/>
    <w:rsid w:val="145309C2"/>
    <w:rsid w:val="14620C7C"/>
    <w:rsid w:val="150E4490"/>
    <w:rsid w:val="15B8745F"/>
    <w:rsid w:val="19E94D84"/>
    <w:rsid w:val="1A4C58D7"/>
    <w:rsid w:val="1AFC20CE"/>
    <w:rsid w:val="21042EE5"/>
    <w:rsid w:val="211D5F5C"/>
    <w:rsid w:val="22556CD8"/>
    <w:rsid w:val="22CD5E83"/>
    <w:rsid w:val="23153E4E"/>
    <w:rsid w:val="27893DAB"/>
    <w:rsid w:val="278B7862"/>
    <w:rsid w:val="2B732DA8"/>
    <w:rsid w:val="2D6C7776"/>
    <w:rsid w:val="304D3CB4"/>
    <w:rsid w:val="351E06AA"/>
    <w:rsid w:val="37913140"/>
    <w:rsid w:val="37DB6B4C"/>
    <w:rsid w:val="39FA6E5C"/>
    <w:rsid w:val="43DF5027"/>
    <w:rsid w:val="47376F28"/>
    <w:rsid w:val="47EA4DCA"/>
    <w:rsid w:val="4BFF2432"/>
    <w:rsid w:val="54044CFA"/>
    <w:rsid w:val="58F809FE"/>
    <w:rsid w:val="598F5BF5"/>
    <w:rsid w:val="5BCD5FBA"/>
    <w:rsid w:val="5DD62756"/>
    <w:rsid w:val="5E1C0F67"/>
    <w:rsid w:val="5F2F6386"/>
    <w:rsid w:val="61CF6226"/>
    <w:rsid w:val="636C5CA4"/>
    <w:rsid w:val="6617615C"/>
    <w:rsid w:val="6861303F"/>
    <w:rsid w:val="68DF6C35"/>
    <w:rsid w:val="706E6B91"/>
    <w:rsid w:val="7128128D"/>
    <w:rsid w:val="737D292B"/>
    <w:rsid w:val="74B54A08"/>
    <w:rsid w:val="76183A28"/>
    <w:rsid w:val="773A5AF5"/>
    <w:rsid w:val="78591EE2"/>
    <w:rsid w:val="793564D5"/>
    <w:rsid w:val="7AA83D1F"/>
    <w:rsid w:val="7BBB79A7"/>
    <w:rsid w:val="7C3E119D"/>
    <w:rsid w:val="7D96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qFormat/>
    <w:uiPriority w:val="0"/>
    <w:pPr>
      <w:ind w:firstLine="200" w:firstLineChars="200"/>
    </w:pPr>
    <w:rPr>
      <w:rFonts w:ascii="宋体" w:hAnsi="Courier New" w:eastAsia="仿宋_GB2312" w:cs="Courier New"/>
      <w:szCs w:val="21"/>
    </w:rPr>
  </w:style>
  <w:style w:type="paragraph" w:styleId="5">
    <w:name w:val="Normal Indent"/>
    <w:basedOn w:val="1"/>
    <w:autoRedefine/>
    <w:qFormat/>
    <w:uiPriority w:val="0"/>
    <w:pPr>
      <w:adjustRightInd w:val="0"/>
      <w:spacing w:line="312" w:lineRule="atLeast"/>
      <w:ind w:firstLine="420"/>
      <w:textAlignment w:val="baseline"/>
    </w:pPr>
  </w:style>
  <w:style w:type="paragraph" w:styleId="6">
    <w:name w:val="Closing"/>
    <w:basedOn w:val="1"/>
    <w:autoRedefine/>
    <w:unhideWhenUsed/>
    <w:qFormat/>
    <w:uiPriority w:val="99"/>
    <w:pPr>
      <w:ind w:left="100" w:leftChars="2100"/>
    </w:pPr>
    <w:rPr>
      <w:rFonts w:ascii="Calibri" w:hAnsi="Calibri" w:eastAsia="宋体" w:cs="Times New Roman"/>
      <w:szCs w:val="20"/>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autoRedefine/>
    <w:qFormat/>
    <w:uiPriority w:val="0"/>
    <w:rPr>
      <w:sz w:val="21"/>
      <w:szCs w:val="21"/>
    </w:rPr>
  </w:style>
  <w:style w:type="character" w:customStyle="1" w:styleId="14">
    <w:name w:val="页脚 字符"/>
    <w:basedOn w:val="12"/>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13</Pages>
  <Words>1079</Words>
  <Characters>6152</Characters>
  <Lines>51</Lines>
  <Paragraphs>14</Paragraphs>
  <TotalTime>14</TotalTime>
  <ScaleCrop>false</ScaleCrop>
  <LinksUpToDate>false</LinksUpToDate>
  <CharactersWithSpaces>7217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2023-01-04T05:10:00Z</dcterms:created>
  <dc:creator>vinnie</dc:creator>
  <cp:lastModifiedBy>蔡航</cp:lastModifiedBy>
  <dcterms:modified xsi:type="dcterms:W3CDTF">2024-02-18T03:37:14Z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97A750EB7FFC448A918DC703D3515B2A_13</vt:lpwstr>
  </property>
</Properties>
</file>