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云艺项目绿化区域喷灌安装方案与预算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一；实际现状</w:t>
      </w:r>
    </w:p>
    <w:p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于入春以来，气温逐渐上升，昆明地区降水严重不足，我们面临着严峻的旱情挑。目前学校中水水量有限，其次项目配备的绿化员工也有限。当下已经进入绿化管养的旱季，在不做绿化补员的情况下，现有条件与资源远远满足不了绿化浇灌的需求，为解决目前干旱的燃眉之急，与学院后勤领导也达成共识，在重点的绿化区域投入安装一定数量的喷灌设施设备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二：改善措施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合实际情况，为满足绿化浇水工作能有效的开展，我们计划在图书馆、行政楼、学校大门两侧区域安装喷灌设备，这样既可以很大程度提升浇水效率，也能解放人员劳动力。此次计划安装喷灌区域的绿化面积为3万平方米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三；成本预算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696"/>
        <w:gridCol w:w="809"/>
        <w:gridCol w:w="990"/>
        <w:gridCol w:w="1230"/>
        <w:gridCol w:w="1380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1855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用于图书馆区域增加水管龙头便于取水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PE63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680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用于抽水机与中水管网连接。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880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用于行政楼增加水管龙头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PE63三通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17.6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PE50变32三通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用于改造原中水管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PE63变50三通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PE50变32直接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PE50直接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PE50弯头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PE32球阀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用于增加水管的配件、及其他区域部分损坏的水龙头更换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PE63球阀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PE32直接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PE32弯头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PE50球阀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喷头带脚架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用于行政楼、大门两侧、图书馆区域安装的喷灌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32橡胶水管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1360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用于从水龙头取水连接到喷灌，便于移动且后期能长久使用。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抽水泵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1850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center" w:pos="1077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1850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用于从水塘抽水供应喷灌。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喷带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箱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275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center" w:pos="1077"/>
              </w:tabs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275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用于图书馆区域喷灌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电缆线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8.5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center" w:pos="1077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425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用于电箱处连接电源接抽水泵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运费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购买材料运回项目的费用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9990.6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GUzZjk0ODk0MmI0M2M4MTI5OGNkMWM3NGE2YmEifQ=="/>
  </w:docVars>
  <w:rsids>
    <w:rsidRoot w:val="640905F4"/>
    <w:rsid w:val="154A2FEB"/>
    <w:rsid w:val="20D504B9"/>
    <w:rsid w:val="26E8081A"/>
    <w:rsid w:val="501474E0"/>
    <w:rsid w:val="5F900D57"/>
    <w:rsid w:val="6409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2024-04-12T09:09:00Z</dcterms:created>
  <dc:creator>那些年♥繁华落幕</dc:creator>
  <cp:lastModifiedBy>那些年♥繁华落幕</cp:lastModifiedBy>
  <dcterms:modified xsi:type="dcterms:W3CDTF">2024-04-16T09:39:58Z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4ED89C4701F24C329963D63C55EFDD79_13</vt:lpwstr>
  </property>
</Properties>
</file>