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FB66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0A0B064F"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08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3ABB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54A6036F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7EE463F7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张石平、王红艳、李兴荣、汤明星、奎艳美、丁博、简国帅</w:t>
            </w:r>
          </w:p>
        </w:tc>
      </w:tr>
      <w:tr w14:paraId="4C45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1A7379F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4CCE6C7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云南省应急管理厅</w:t>
            </w:r>
          </w:p>
        </w:tc>
        <w:tc>
          <w:tcPr>
            <w:tcW w:w="2322" w:type="dxa"/>
            <w:vAlign w:val="center"/>
          </w:tcPr>
          <w:p w14:paraId="5D11FE8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04D206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2024.07.02</w:t>
            </w:r>
          </w:p>
        </w:tc>
      </w:tr>
      <w:tr w14:paraId="036E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3007BFB5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5CEB2DB3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3BBC8121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甲方提供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6102006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7482C70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6C8B180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18661499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u w:val="none"/>
                <w:lang w:val="en-US" w:eastAsia="zh-CN"/>
              </w:rPr>
              <w:t>c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维修 ；</w:t>
            </w:r>
            <w:r>
              <w:rPr>
                <w:rFonts w:hint="eastAsia" w:cs="Times New Roman"/>
                <w:u w:val="none"/>
                <w:lang w:val="en-US" w:eastAsia="zh-CN"/>
              </w:rPr>
              <w:t>d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保安 ；</w:t>
            </w:r>
            <w:r>
              <w:rPr>
                <w:rFonts w:hint="eastAsia" w:cs="Times New Roman"/>
                <w:u w:val="none"/>
                <w:lang w:val="en-US" w:eastAsia="zh-CN"/>
              </w:rPr>
              <w:t>e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传达收发 ；</w:t>
            </w:r>
            <w:r>
              <w:rPr>
                <w:rFonts w:hint="eastAsia" w:cs="Times New Roman"/>
                <w:u w:val="none"/>
                <w:lang w:val="en-US" w:eastAsia="zh-CN"/>
              </w:rPr>
              <w:t>f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文印 ；</w:t>
            </w:r>
            <w:r>
              <w:rPr>
                <w:rFonts w:hint="eastAsia" w:cs="Times New Roman"/>
                <w:u w:val="none"/>
                <w:lang w:val="en-US" w:eastAsia="zh-CN"/>
              </w:rPr>
              <w:t>g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会议 ；</w:t>
            </w:r>
            <w:r>
              <w:rPr>
                <w:rFonts w:hint="eastAsia" w:cs="Times New Roman"/>
                <w:u w:val="none"/>
                <w:lang w:val="en-US" w:eastAsia="zh-CN"/>
              </w:rPr>
              <w:t>g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餐饮 ；</w:t>
            </w:r>
          </w:p>
          <w:p w14:paraId="1CAE4301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物业管理</w:t>
            </w:r>
            <w:r>
              <w:rPr>
                <w:rFonts w:hint="eastAsia" w:ascii="宋体" w:hAnsi="宋体" w:eastAsia="宋体" w:cs="宋体"/>
                <w:u w:val="single"/>
              </w:rPr>
              <w:t>负责人1人；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餐饮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管理负责人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1人；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安保人员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5人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保洁人员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4人；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会务服务人员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3人；文印管理服务人员1人；工程维修员1人；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厨师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2人；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切配、洗捡、打荷及其他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2人；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餐饮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服务人员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1人；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共21人</w:t>
            </w:r>
            <w:r>
              <w:rPr>
                <w:rFonts w:hint="eastAsia" w:ascii="宋体" w:hAnsi="宋体" w:eastAsia="宋体" w:cs="宋体"/>
                <w:u w:val="single"/>
              </w:rPr>
              <w:t>。</w:t>
            </w:r>
          </w:p>
          <w:p w14:paraId="3EFF5C6D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  <w:bookmarkStart w:id="0" w:name="_GoBack"/>
            <w:bookmarkEnd w:id="0"/>
          </w:p>
          <w:p w14:paraId="2F224A1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合同总价的10%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178440.40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</w:t>
            </w:r>
            <w:r>
              <w:rPr>
                <w:rFonts w:hint="eastAsia" w:cs="Times New Roman"/>
                <w:lang w:val="en-US" w:eastAsia="zh-CN"/>
              </w:rPr>
              <w:t>保函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 w14:paraId="05E9E9D4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合同签订后 30 日内支付2024年6</w:t>
            </w:r>
            <w:r>
              <w:rPr>
                <w:rFonts w:hint="eastAsia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16日至2024年12月15日期间的服务费 892202.00 元；2025年财政资金下拨且甲方对上半年度服务验收合格后30日内，支付 2024年12月16日至2025年6月15日期间的服务费 892202.00 元</w:t>
            </w:r>
            <w:r>
              <w:rPr>
                <w:rFonts w:hint="eastAsia" w:cs="Times New Roman"/>
                <w:u w:val="single"/>
                <w:lang w:val="en-US" w:eastAsia="zh-CN"/>
              </w:rPr>
              <w:t>。</w:t>
            </w:r>
          </w:p>
          <w:p w14:paraId="4E8F4D48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6CCD3C31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70A6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040D356A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341810B3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3CC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6ECA3026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73DE97E3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5E1F9BBF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7A8075FE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8E2C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YzlkMDM0OWViZDY1YjE5MDhhZDZmMWUzMmQ5YmQ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683477C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6FB12EB4"/>
    <w:rsid w:val="70C110CF"/>
    <w:rsid w:val="734421C7"/>
    <w:rsid w:val="75E60C29"/>
    <w:rsid w:val="782B6EF8"/>
    <w:rsid w:val="7C813019"/>
    <w:rsid w:val="7DE65A2D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640</Characters>
  <Lines>0</Lines>
  <Paragraphs>0</Paragraphs>
  <TotalTime>0</TotalTime>
  <ScaleCrop>false</ScaleCrop>
  <LinksUpToDate>false</LinksUpToDate>
  <CharactersWithSpaces>929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这是个假呈贡人</cp:lastModifiedBy>
  <dcterms:modified xsi:type="dcterms:W3CDTF">2024-07-02T08:06:50Z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3486FEE709FB4EC09A822EDF3B844D24_13</vt:lpwstr>
  </property>
</Properties>
</file>