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28CE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7506DDB5"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09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07F7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05BCAD08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25AFB70C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张石平、王红艳、李兴荣、汤明星、奎艳美、丁博、简国帅</w:t>
            </w:r>
          </w:p>
        </w:tc>
      </w:tr>
      <w:tr w14:paraId="5010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48564C8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153E37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云南省小龙潭监狱</w:t>
            </w:r>
          </w:p>
        </w:tc>
        <w:tc>
          <w:tcPr>
            <w:tcW w:w="2322" w:type="dxa"/>
            <w:vAlign w:val="center"/>
          </w:tcPr>
          <w:p w14:paraId="2CEBEBF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64888A4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2024.07.15</w:t>
            </w:r>
          </w:p>
        </w:tc>
      </w:tr>
      <w:tr w14:paraId="5316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3156A894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370475FE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20D80BF8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甲方提供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77B8296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5CEDD9C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77074CF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56EC5675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none"/>
                <w:lang w:eastAsia="zh-CN"/>
              </w:rPr>
              <w:t>；</w:t>
            </w:r>
          </w:p>
          <w:p w14:paraId="5D8A7420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4DACC462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养护期3个月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u w:val="single"/>
                <w:lang w:val="en-US" w:eastAsia="zh-CN"/>
              </w:rPr>
              <w:t>之后的</w:t>
            </w:r>
            <w:r>
              <w:rPr>
                <w:rFonts w:hint="eastAsia" w:cs="Times New Roman"/>
                <w:u w:val="single"/>
                <w:lang w:eastAsia="zh-CN"/>
              </w:rPr>
              <w:t>一年内为质保期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76A6DDCA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无 </w:t>
            </w:r>
            <w:r>
              <w:rPr>
                <w:rFonts w:hint="eastAsia" w:ascii="Times New Roman" w:hAnsi="Times New Roman" w:eastAsia="宋体" w:cs="Times New Roman"/>
              </w:rPr>
              <w:t>，</w:t>
            </w:r>
          </w:p>
          <w:p w14:paraId="2B21C817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合同总价人民币：17500.00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</w:t>
            </w:r>
            <w:r>
              <w:rPr>
                <w:rFonts w:hint="eastAsia" w:cs="Times New Roman"/>
                <w:u w:val="single"/>
                <w:lang w:eastAsia="zh-CN"/>
              </w:rPr>
              <w:t>，养护期满且双方验收合格后，甲方在20个工作日内一次性支付服务费。</w:t>
            </w:r>
          </w:p>
          <w:p w14:paraId="0C10A14E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76941858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42B1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2EB81B52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6668988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B03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0F6DF282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0C2A330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4FC5F690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6A622EB0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03A95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6EC57404"/>
    <w:rsid w:val="70C110CF"/>
    <w:rsid w:val="734421C7"/>
    <w:rsid w:val="75E60C29"/>
    <w:rsid w:val="782B6EF8"/>
    <w:rsid w:val="7C813019"/>
    <w:rsid w:val="7DE65A2D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531</Characters>
  <Lines>0</Lines>
  <Paragraphs>0</Paragraphs>
  <TotalTime>0</TotalTime>
  <ScaleCrop>false</ScaleCrop>
  <LinksUpToDate>false</LinksUpToDate>
  <CharactersWithSpaces>807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这是个假呈贡人</cp:lastModifiedBy>
  <dcterms:modified xsi:type="dcterms:W3CDTF">2024-07-15T03:18:58Z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3F370840C47E48DD861B526C17F458A7_11</vt:lpwstr>
  </property>
</Properties>
</file>