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3C444">
      <w:pPr>
        <w:pStyle w:val="14"/>
        <w:snapToGrid w:val="0"/>
        <w:spacing w:before="0" w:beforeAutospacing="0" w:after="0" w:afterAutospacing="0" w:line="440" w:lineRule="exact"/>
        <w:ind w:left="0" w:firstLine="0" w:firstLineChars="0"/>
        <w:jc w:val="center"/>
        <w:rPr>
          <w:rFonts w:ascii="宋体" w:hAnsi="宋体" w:eastAsia="宋体" w:cs="宋体"/>
          <w:b/>
          <w:sz w:val="44"/>
          <w:szCs w:val="44"/>
        </w:rPr>
      </w:pPr>
      <w:r>
        <w:rPr>
          <w:rFonts w:hint="eastAsia" w:ascii="宋体" w:hAnsi="宋体" w:eastAsia="宋体" w:cs="宋体"/>
          <w:b/>
          <w:sz w:val="44"/>
          <w:szCs w:val="44"/>
        </w:rPr>
        <w:t>委托服务合同</w:t>
      </w:r>
    </w:p>
    <w:p w14:paraId="42ED33F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20EFDE68">
      <w:pPr>
        <w:pStyle w:val="14"/>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甲方：</w:t>
      </w:r>
      <w:r>
        <w:rPr>
          <w:rFonts w:hint="eastAsia"/>
        </w:rPr>
        <w:t>中高后勤服务（新疆）有限公司</w:t>
      </w:r>
      <w:bookmarkStart w:id="0" w:name="_GoBack"/>
      <w:bookmarkEnd w:id="0"/>
    </w:p>
    <w:p w14:paraId="2D33F46E">
      <w:pPr>
        <w:pStyle w:val="14"/>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联系地址：</w:t>
      </w:r>
      <w:r>
        <w:rPr>
          <w:rFonts w:hint="eastAsia"/>
        </w:rPr>
        <w:t>新疆乌鲁木齐高新区（新市区）高新街街道苏州东街568号金邦（公寓）大厦1栋10层1002室</w:t>
      </w:r>
    </w:p>
    <w:p w14:paraId="3D34DFB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3077AC27">
      <w:pPr>
        <w:pStyle w:val="17"/>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乙方：四川省嵘智科技有限公司</w:t>
      </w:r>
    </w:p>
    <w:p w14:paraId="7A1415E0">
      <w:pPr>
        <w:pStyle w:val="17"/>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联系地址：</w:t>
      </w:r>
      <w:r>
        <w:rPr>
          <w:rFonts w:hint="eastAsia"/>
        </w:rPr>
        <w:t>四川省成都市锦江区锦华路三段88号汇融创客广场（锦华）1栋4单元8层1号（自编B-802号）</w:t>
      </w:r>
      <w:r>
        <w:rPr>
          <w:rFonts w:hint="eastAsia" w:ascii="宋体" w:hAnsi="宋体" w:eastAsia="宋体" w:cs="宋体"/>
          <w:sz w:val="21"/>
          <w:szCs w:val="21"/>
        </w:rPr>
        <w:t xml:space="preserve"> </w:t>
      </w:r>
    </w:p>
    <w:p w14:paraId="6F983E0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3E90F5A7">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甲乙双方本着相互合作、优势互补、利益共赢的原则，根据《中华人民共和国民法典》及相关法律法规，就甲方委托乙方提供</w:t>
      </w:r>
      <w:r>
        <w:rPr>
          <w:rFonts w:hint="eastAsia" w:ascii="宋体" w:hAnsi="宋体" w:eastAsia="宋体" w:cs="宋体"/>
          <w:b/>
          <w:bCs w:val="0"/>
          <w:sz w:val="21"/>
          <w:szCs w:val="21"/>
          <w:u w:val="single"/>
        </w:rPr>
        <w:t xml:space="preserve"> 物业管理  </w:t>
      </w:r>
      <w:r>
        <w:rPr>
          <w:rFonts w:hint="eastAsia" w:ascii="宋体" w:hAnsi="宋体" w:eastAsia="宋体" w:cs="宋体"/>
          <w:sz w:val="21"/>
          <w:szCs w:val="21"/>
        </w:rPr>
        <w:t>项目服务（具体以双方书面确认为准），</w:t>
      </w:r>
      <w:r>
        <w:rPr>
          <w:rFonts w:hint="eastAsia" w:ascii="宋体" w:hAnsi="宋体" w:eastAsia="宋体" w:cs="宋体"/>
          <w:sz w:val="21"/>
          <w:szCs w:val="21"/>
          <w:lang w:val="en-US" w:eastAsia="zh-CN"/>
        </w:rPr>
        <w:t>在成都市</w:t>
      </w:r>
      <w:r>
        <w:rPr>
          <w:rFonts w:hint="eastAsia" w:ascii="宋体" w:hAnsi="宋体" w:eastAsia="宋体" w:cs="宋体"/>
          <w:sz w:val="21"/>
          <w:szCs w:val="21"/>
        </w:rPr>
        <w:t>订立本合同，以资共同遵守。</w:t>
      </w:r>
    </w:p>
    <w:p w14:paraId="5A2CD06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鉴于乙方是具有完整的项目运营与交付等能力的综合技术服务提供商，甲方因自身业务发展和战略要求选择乙方作为供应商提供技术服务。</w:t>
      </w:r>
    </w:p>
    <w:p w14:paraId="0444A76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本合同期限为合同签订之日起1年，即自【2025】年【 6 】月【 2 】日起至【 2026】年【 6 】月【 1 】日，本合同到期即告终止。合同到期后如双方未及时续约但合作仍旧持续的，则本合同自动延续直至双方签署新的合同或一方向另一方书面通知解除合同。</w:t>
      </w:r>
    </w:p>
    <w:p w14:paraId="58D646D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若合作期限届满时，本合同项下仍有多份《服务确认书》尚未到期并在实际履行中，则本合同顺延至最后一份《服务确认书》履行完毕；但乙方在顺延期间应确保服务质量和履行标准符合本合同约定，否则甲方有权提前终止本合同，并要求乙方赔偿因此造成的损失。</w:t>
      </w:r>
    </w:p>
    <w:p w14:paraId="2F69C4E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甲方应当根据双方约定及时向乙方支付服务费，具体服务费及支付方式、时间详见附件《服务确认书》，但甲方支付服务费的前提是乙方已按约定履行服务义务。</w:t>
      </w:r>
    </w:p>
    <w:p w14:paraId="07B3E7B4">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服务费核对中，任何一方对服务费存在异议的，异议部分可以暂缓支付，但其余部分应当按照合同约定的时间进行支付；异议部分，应当在双方核对无误后3个工作日内予以支付，</w:t>
      </w:r>
      <w:r>
        <w:rPr>
          <w:rFonts w:hint="eastAsia" w:ascii="宋体" w:hAnsi="宋体" w:eastAsia="宋体" w:cs="宋体"/>
          <w:sz w:val="21"/>
          <w:szCs w:val="21"/>
          <w:lang w:eastAsia="zh-CN"/>
        </w:rPr>
        <w:t>。</w:t>
      </w:r>
    </w:p>
    <w:p w14:paraId="1BCC9BB1">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乙方收到甲方全额服务费后3个工作日内，向甲方开具有效增值税</w:t>
      </w:r>
      <w:r>
        <w:rPr>
          <w:rFonts w:hint="eastAsia" w:ascii="宋体" w:hAnsi="宋体" w:eastAsia="宋体" w:cs="宋体"/>
          <w:sz w:val="21"/>
          <w:szCs w:val="21"/>
        </w:rPr>
        <w:sym w:font="Wingdings 2" w:char="0052"/>
      </w:r>
      <w:r>
        <w:rPr>
          <w:rFonts w:hint="eastAsia" w:ascii="宋体" w:hAnsi="宋体" w:eastAsia="宋体" w:cs="宋体"/>
          <w:sz w:val="21"/>
          <w:szCs w:val="21"/>
        </w:rPr>
        <w:t>专用</w:t>
      </w:r>
      <w:r>
        <w:rPr>
          <w:rFonts w:hint="eastAsia" w:ascii="宋体" w:hAnsi="宋体" w:eastAsia="宋体" w:cs="宋体"/>
          <w:sz w:val="21"/>
          <w:szCs w:val="21"/>
        </w:rPr>
        <w:sym w:font="Wingdings 2" w:char="00A3"/>
      </w:r>
      <w:r>
        <w:rPr>
          <w:rFonts w:hint="eastAsia" w:ascii="宋体" w:hAnsi="宋体" w:eastAsia="宋体" w:cs="宋体"/>
          <w:sz w:val="21"/>
          <w:szCs w:val="21"/>
        </w:rPr>
        <w:t>普通发票（</w:t>
      </w:r>
      <w:r>
        <w:rPr>
          <w:rFonts w:hint="eastAsia" w:ascii="宋体" w:hAnsi="宋体" w:eastAsia="宋体" w:cs="宋体"/>
          <w:b/>
          <w:bCs w:val="0"/>
          <w:sz w:val="21"/>
          <w:szCs w:val="21"/>
        </w:rPr>
        <w:t>发票内容：*现代服务*</w:t>
      </w:r>
      <w:r>
        <w:rPr>
          <w:rFonts w:hint="eastAsia" w:ascii="宋体" w:hAnsi="宋体" w:eastAsia="宋体" w:cs="宋体"/>
          <w:sz w:val="21"/>
          <w:szCs w:val="21"/>
        </w:rPr>
        <w:t xml:space="preserve"> ）；甲方承担本合同项下的税费（含6%发票税率）。</w:t>
      </w:r>
    </w:p>
    <w:p w14:paraId="137D8ABA">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1）甲方的增值税开票信息如下：</w:t>
      </w:r>
    </w:p>
    <w:p w14:paraId="523FC89A">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公司名称：</w:t>
      </w:r>
      <w:r>
        <w:rPr>
          <w:rFonts w:hint="eastAsia"/>
        </w:rPr>
        <w:t>中高后勤服务（新疆）有限公司</w:t>
      </w:r>
    </w:p>
    <w:p w14:paraId="73FF9D46">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税号：</w:t>
      </w:r>
      <w:r>
        <w:rPr>
          <w:rFonts w:hint="eastAsia"/>
        </w:rPr>
        <w:t>91650104MADLRG5371</w:t>
      </w:r>
    </w:p>
    <w:p w14:paraId="24758F93">
      <w:pPr>
        <w:pStyle w:val="14"/>
        <w:snapToGrid w:val="0"/>
        <w:spacing w:before="0" w:beforeAutospacing="0" w:after="50" w:afterAutospacing="0" w:line="440" w:lineRule="exact"/>
        <w:ind w:left="0" w:leftChars="0" w:right="-693" w:rightChars="-385" w:firstLine="420" w:firstLineChars="200"/>
        <w:rPr>
          <w:rFonts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rPr>
        <w:t>新疆乌鲁木齐高新区（新市区）高新街街道苏州东街568号金邦（公寓）大厦1栋10层1002室</w:t>
      </w:r>
    </w:p>
    <w:p w14:paraId="71AA84CD">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 xml:space="preserve">开户行：招商银行乌鲁木齐分行乌鲁木齐苏州路支行            </w:t>
      </w:r>
    </w:p>
    <w:p w14:paraId="35B597B2">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帐号：991907637410001                </w:t>
      </w:r>
    </w:p>
    <w:p w14:paraId="12895ECF">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2）乙方收款帐户信息如下：</w:t>
      </w:r>
    </w:p>
    <w:tbl>
      <w:tblPr>
        <w:tblStyle w:val="9"/>
        <w:tblW w:w="7996" w:type="dxa"/>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6"/>
      </w:tblGrid>
      <w:tr w14:paraId="1306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exact"/>
        </w:trPr>
        <w:tc>
          <w:tcPr>
            <w:tcW w:w="7996" w:type="dxa"/>
            <w:tcBorders>
              <w:left w:val="nil"/>
              <w:bottom w:val="nil"/>
              <w:right w:val="nil"/>
            </w:tcBorders>
          </w:tcPr>
          <w:p w14:paraId="3B06E831">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账户名称：四川省嵘智科技有限公司</w:t>
            </w:r>
          </w:p>
        </w:tc>
      </w:tr>
      <w:tr w14:paraId="22B9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trPr>
        <w:tc>
          <w:tcPr>
            <w:tcW w:w="7996" w:type="dxa"/>
            <w:tcBorders>
              <w:top w:val="nil"/>
              <w:left w:val="nil"/>
              <w:bottom w:val="nil"/>
              <w:right w:val="nil"/>
            </w:tcBorders>
          </w:tcPr>
          <w:p w14:paraId="79A0A3D1">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账号： </w:t>
            </w:r>
            <w:r>
              <w:rPr>
                <w:rFonts w:hint="eastAsia"/>
              </w:rPr>
              <w:t>128915230010701</w:t>
            </w:r>
          </w:p>
        </w:tc>
      </w:tr>
      <w:tr w14:paraId="3F93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96" w:type="dxa"/>
            <w:tcBorders>
              <w:top w:val="nil"/>
              <w:left w:val="nil"/>
              <w:right w:val="nil"/>
            </w:tcBorders>
          </w:tcPr>
          <w:p w14:paraId="42728CE0">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开户银行：</w:t>
            </w:r>
            <w:r>
              <w:rPr>
                <w:rFonts w:hint="eastAsia"/>
              </w:rPr>
              <w:t>招商银行成都新光路支行</w:t>
            </w:r>
          </w:p>
        </w:tc>
      </w:tr>
    </w:tbl>
    <w:p w14:paraId="0DDE14A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因国家税务政策变更或限制而需要合理调整开票种类、形式等内容的，甲乙双方应另行协商确认。</w:t>
      </w:r>
    </w:p>
    <w:p w14:paraId="1BCAEE0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甲方因纳税人信息变动需调整相应开票信息的，甲方需提前10个工作日以书面形式通知乙方。如甲方未能按本合同约定提供完整、准确、有效的信息或未能及时通知而产生的任何损失由甲方承担，但如果乙方在收到通知后未在合理时间内处理或未能配合调整信息，乙方应承担由此产生的部分损失。</w:t>
      </w:r>
    </w:p>
    <w:p w14:paraId="531A9EEB">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甲方不得通过乙方向甲方及其关联公司法定代表人、股东、董事、监事及与甲方及其关联公司存在人身依附性或从所属公司取得综合所得收入的人员发布项目任务。</w:t>
      </w:r>
    </w:p>
    <w:p w14:paraId="3F4F7A6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甲方应当确保委托业务及其在乙方平台发布的订单需求和信息均合法、真实、准确、完整，不存在虚假、误导的情形，且不会侵犯其他第三方的合法权益，否则甲方应当自行承担全部后果和法律责任。 </w:t>
      </w:r>
    </w:p>
    <w:p w14:paraId="6718BEB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甲方应当确保其有权同意乙方将委托业务转委托给其他第三方完成。 </w:t>
      </w:r>
    </w:p>
    <w:p w14:paraId="3B59CD9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乙方保证按照本协议和具体订单的条款条件完成委托业务，就委托业务的完成向甲方负责。 </w:t>
      </w:r>
    </w:p>
    <w:p w14:paraId="7F30385F">
      <w:pPr>
        <w:pStyle w:val="14"/>
        <w:numPr>
          <w:ilvl w:val="0"/>
          <w:numId w:val="2"/>
        </w:numPr>
        <w:snapToGrid w:val="0"/>
        <w:spacing w:before="0" w:beforeAutospacing="0" w:after="50" w:afterAutospacing="0" w:line="440" w:lineRule="exact"/>
        <w:rPr>
          <w:rFonts w:hint="default" w:ascii="宋体" w:hAnsi="宋体" w:eastAsia="宋体" w:cs="宋体"/>
          <w:sz w:val="21"/>
          <w:szCs w:val="21"/>
          <w:lang w:val="en-US"/>
        </w:rPr>
      </w:pPr>
      <w:r>
        <w:rPr>
          <w:rFonts w:hint="eastAsia" w:ascii="宋体" w:hAnsi="宋体" w:eastAsia="宋体" w:cs="宋体"/>
          <w:sz w:val="21"/>
          <w:szCs w:val="21"/>
        </w:rPr>
        <w:t>乙方有权将委托业务以拆分或整体的形式交由第三方完成（即委托业务最终完成者），并就工作成果对甲方</w:t>
      </w:r>
      <w:r>
        <w:rPr>
          <w:rFonts w:hint="eastAsia" w:ascii="宋体" w:hAnsi="宋体" w:eastAsia="宋体" w:cs="宋体"/>
          <w:sz w:val="21"/>
          <w:szCs w:val="21"/>
          <w:lang w:val="en-US" w:eastAsia="zh-CN"/>
        </w:rPr>
        <w:t>负责。</w:t>
      </w:r>
    </w:p>
    <w:p w14:paraId="77EF88A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甲方与乙方之间，均不因本协议的存在而成立劳动、劳务、雇佣、代理等性质的关系，甲方将业务委托给乙方，乙方承接项目订单后可以另行与第三方（即委托业务最终完成者）签署具体业务委托协议，双方确定乙方无须为甲方和/或委托业务最终完成者交纳社会保险及意外伤害等商业保险，但甲乙双方另有书面约定除外。</w:t>
      </w:r>
    </w:p>
    <w:p w14:paraId="3B5A36F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乙方确保乙方自身遵守委托业务成果的验收要求，按照本协议、订单要求将委托业务成果及时交付甲方验收。</w:t>
      </w:r>
    </w:p>
    <w:p w14:paraId="0EFBD33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乙方有权根据本协议获得业务报酬，并依法缴纳相应税费，但乙方未全面履行本协议义务时，甲方有权暂停支付报酬或扣减相应金额。 </w:t>
      </w:r>
    </w:p>
    <w:p w14:paraId="6DE38A6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甲方基于业务的任何商业行为所引起的一切法律纠纷由甲方自行承担，与乙方无关。但乙方会积极配合甲方处理相关事宜以促进各项事宜的解决。 </w:t>
      </w:r>
    </w:p>
    <w:p w14:paraId="4D415095">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本协议有效期内，甲方应当就委托业务为乙方以及委托业务最终完成者提供合适的条件和协助，并避免乙方或委托业务最终完成者在完成委托业务过程中遭受人身或者财产损失，否则甲方应当承担赔偿责任。但因乙方的过错（包括但不限于故意行为、重大过失）导致的损失，甲方不承担赔偿责任。 </w:t>
      </w:r>
    </w:p>
    <w:p w14:paraId="5DBD42C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在进行业务委托前应当告知乙方完成委托业务所需的资质、能力或者条件，并且应当对乙方或者委托业务最终完成者的资质、能力、条件进行审核、判断是否适合完成委托业务，否则甲方应当自行承担全部后果和法律责任，包括但不限于按约与乙方结算业务报酬。 </w:t>
      </w:r>
    </w:p>
    <w:p w14:paraId="40B71C7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甲方应当保证本合作资金来源的稳定性及合法性,若因资金自身存在的问题并由此带来的一切后果及法律责任由甲方自行承担。 但若资金问题系因乙方行为或疏忽所致，乙方应承担全部责任。</w:t>
      </w:r>
    </w:p>
    <w:p w14:paraId="4BCCC59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甲方对向乙方发布的订单信息、验收标准等内容及形式自行审核，本协议另有约定除外。</w:t>
      </w:r>
    </w:p>
    <w:p w14:paraId="09C53E6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若委托业务的完成需要实物产品及物料，甲方应当负责提供并发送至乙方指定地点，运费以及物流、实物产品及物料在送达乙方之前的灭失风险均由甲方承担；若甲方需要乙方协助提供实物产品或物料及快递服务的，应提供样品并另行支付相关费用。 </w:t>
      </w:r>
    </w:p>
    <w:p w14:paraId="6EF885C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甲方对于委托业务的验收标准应当具体且可量化，不得以主观因素作为验收条件，否则应当由甲方根据合理标准进行业务报酬结算。</w:t>
      </w:r>
    </w:p>
    <w:p w14:paraId="4F312D9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甲方有权定期或不定期经提前通知后监督和检查乙方完成委托业务的情况，如乙方无正当理由拒绝或阻碍监督，乙方应承担由此给甲方造成的全部损失。 </w:t>
      </w:r>
    </w:p>
    <w:p w14:paraId="2CAF9F5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若认为委托业务最终完成者不胜任的，应当及时告知乙方，由乙方与委托业务最终完成者解除相关合同关系。甲方未予或未及时告知的，不得以此为由拒绝结算业务报酬，甲方应按本协议约定向乙方结算和支付业务报酬。 </w:t>
      </w:r>
    </w:p>
    <w:p w14:paraId="6FA4E0C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原则上在委托业务进行过程中不得调整业务报酬，但委托业务最终完成者同意的情形除外。甲方应当按照本合同的条款条件，在乙方履行其合同义务后及时与乙方结算和支付业务报酬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支付和结算在工作日当日</w:t>
      </w:r>
      <w:r>
        <w:rPr>
          <w:rFonts w:hint="eastAsia" w:ascii="宋体" w:hAnsi="宋体" w:eastAsia="宋体" w:cs="宋体"/>
          <w:sz w:val="21"/>
          <w:szCs w:val="21"/>
          <w:u w:val="single"/>
          <w:lang w:val="en-US" w:eastAsia="zh-CN"/>
        </w:rPr>
        <w:t>17：00后</w:t>
      </w:r>
      <w:r>
        <w:rPr>
          <w:rFonts w:hint="eastAsia" w:ascii="宋体" w:hAnsi="宋体" w:eastAsia="宋体" w:cs="宋体"/>
          <w:sz w:val="21"/>
          <w:szCs w:val="21"/>
          <w:lang w:val="en-US" w:eastAsia="zh-CN"/>
        </w:rPr>
        <w:t>到款，乙方需在到款24小时内与委托业务最终完成者完成结算，如遇节假日顺延；支付和结算在工作日当日</w:t>
      </w:r>
      <w:r>
        <w:rPr>
          <w:rFonts w:hint="eastAsia" w:ascii="宋体" w:hAnsi="宋体" w:eastAsia="宋体" w:cs="宋体"/>
          <w:sz w:val="21"/>
          <w:szCs w:val="21"/>
          <w:u w:val="single"/>
          <w:lang w:val="en-US" w:eastAsia="zh-CN"/>
        </w:rPr>
        <w:t>17：00</w:t>
      </w:r>
      <w:r>
        <w:rPr>
          <w:rFonts w:hint="eastAsia" w:ascii="宋体" w:hAnsi="宋体" w:eastAsia="宋体" w:cs="宋体"/>
          <w:sz w:val="21"/>
          <w:szCs w:val="21"/>
          <w:lang w:val="en-US" w:eastAsia="zh-CN"/>
        </w:rPr>
        <w:t>前到款，乙方需当日与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w:t>
      </w:r>
      <w:r>
        <w:rPr>
          <w:rFonts w:hint="eastAsia" w:ascii="宋体" w:hAnsi="宋体" w:eastAsia="宋体" w:cs="宋体"/>
          <w:sz w:val="21"/>
          <w:szCs w:val="21"/>
        </w:rPr>
        <w:t>但如</w:t>
      </w:r>
      <w:r>
        <w:rPr>
          <w:rFonts w:hint="eastAsia" w:ascii="宋体" w:hAnsi="宋体" w:eastAsia="宋体" w:cs="宋体"/>
          <w:sz w:val="21"/>
          <w:szCs w:val="21"/>
          <w:lang w:val="en-US" w:eastAsia="zh-CN"/>
        </w:rPr>
        <w:t>因乙方系统问题、银行要求、</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身份信息缺失、项目暂停等客观原因，导致乙方当天</w:t>
      </w:r>
      <w:r>
        <w:rPr>
          <w:rFonts w:hint="eastAsia" w:ascii="宋体" w:hAnsi="宋体" w:eastAsia="宋体" w:cs="宋体"/>
          <w:sz w:val="21"/>
          <w:szCs w:val="21"/>
        </w:rPr>
        <w:t>未能及时</w:t>
      </w:r>
      <w:r>
        <w:rPr>
          <w:rFonts w:hint="eastAsia" w:ascii="宋体" w:hAnsi="宋体" w:eastAsia="宋体" w:cs="宋体"/>
          <w:sz w:val="21"/>
          <w:szCs w:val="21"/>
          <w:lang w:val="en-US" w:eastAsia="zh-CN"/>
        </w:rPr>
        <w:t>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w:t>
      </w:r>
      <w:r>
        <w:rPr>
          <w:rFonts w:hint="eastAsia" w:ascii="宋体" w:hAnsi="宋体" w:eastAsia="宋体" w:cs="宋体"/>
          <w:sz w:val="21"/>
          <w:szCs w:val="21"/>
        </w:rPr>
        <w:t>，</w:t>
      </w:r>
      <w:r>
        <w:rPr>
          <w:rFonts w:hint="eastAsia" w:ascii="宋体" w:hAnsi="宋体" w:eastAsia="宋体" w:cs="宋体"/>
          <w:sz w:val="21"/>
          <w:szCs w:val="21"/>
          <w:lang w:val="en-US" w:eastAsia="zh-CN"/>
        </w:rPr>
        <w:t>甲方可以暂存资金于乙方账户用于其他项目发放，同时</w:t>
      </w:r>
      <w:r>
        <w:rPr>
          <w:rFonts w:hint="eastAsia" w:ascii="宋体" w:hAnsi="宋体" w:eastAsia="宋体" w:cs="宋体"/>
          <w:sz w:val="21"/>
          <w:szCs w:val="21"/>
        </w:rPr>
        <w:t>甲方</w:t>
      </w:r>
      <w:r>
        <w:rPr>
          <w:rFonts w:hint="eastAsia" w:ascii="宋体" w:hAnsi="宋体" w:eastAsia="宋体" w:cs="宋体"/>
          <w:sz w:val="21"/>
          <w:szCs w:val="21"/>
          <w:lang w:val="en-US" w:eastAsia="zh-CN"/>
        </w:rPr>
        <w:t>有权根据具体情况要求乙方48小时内原途径返还该资金至甲方账户，如遇节假日顺延</w:t>
      </w:r>
      <w:r>
        <w:rPr>
          <w:rFonts w:hint="eastAsia" w:ascii="宋体" w:hAnsi="宋体" w:eastAsia="宋体" w:cs="宋体"/>
          <w:sz w:val="21"/>
          <w:szCs w:val="21"/>
        </w:rPr>
        <w:t>。甲方不得直接与委托业务最终完成者结算业务报酬，除非乙方未能及时支付委托业务最终完成者，甲方可直接结算并扣除相关费用。</w:t>
      </w:r>
    </w:p>
    <w:p w14:paraId="6FBD757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不论发生何种情形，甲方均不得以任何方式向乙方或委托业务最终完成者提出业务报酬费用回流（回流即乙方或者委托业务最终完成者在收到业务后将业务报酬返还甲方）的要求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除正常退款外</w:t>
      </w:r>
      <w:r>
        <w:rPr>
          <w:rFonts w:hint="eastAsia" w:ascii="宋体" w:hAnsi="宋体" w:eastAsia="宋体" w:cs="宋体"/>
          <w:sz w:val="21"/>
          <w:szCs w:val="21"/>
          <w:lang w:eastAsia="zh-CN"/>
        </w:rPr>
        <w:t>）</w:t>
      </w:r>
      <w:r>
        <w:rPr>
          <w:rFonts w:hint="eastAsia" w:ascii="宋体" w:hAnsi="宋体" w:eastAsia="宋体" w:cs="宋体"/>
          <w:sz w:val="21"/>
          <w:szCs w:val="21"/>
        </w:rPr>
        <w:t>。但如果乙方未能履行合同约定的义务（包括但不限于服务质量不达标、未按时完成业务），甲方有权要求乙方返还部分或全部业务报酬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如果甲方与乙方支付和结算业务报酬后，因乙方原因在到款24小时内未与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完成结算（节假日顺延），或未在48小时内应甲方退款要求退款到账的（节假日顺延），</w:t>
      </w:r>
      <w:r>
        <w:rPr>
          <w:rFonts w:hint="eastAsia" w:ascii="宋体" w:hAnsi="宋体" w:eastAsia="宋体" w:cs="宋体"/>
          <w:sz w:val="21"/>
          <w:szCs w:val="21"/>
        </w:rPr>
        <w:t>乙方应向甲方支付违约金</w:t>
      </w:r>
      <w:r>
        <w:rPr>
          <w:rFonts w:hint="eastAsia" w:ascii="宋体" w:hAnsi="宋体" w:eastAsia="宋体" w:cs="宋体"/>
          <w:color w:val="000000"/>
          <w:sz w:val="22"/>
          <w:highlight w:val="none"/>
          <w:lang w:val="en-US" w:eastAsia="zh-CN"/>
        </w:rPr>
        <w:t>，直至乙方与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完成结算，或者退还至甲方账户</w:t>
      </w:r>
      <w:r>
        <w:rPr>
          <w:rFonts w:hint="eastAsia" w:ascii="宋体" w:hAnsi="宋体" w:eastAsia="宋体" w:cs="宋体"/>
          <w:color w:val="000000"/>
          <w:sz w:val="22"/>
          <w:highlight w:val="none"/>
          <w:lang w:val="en-US" w:eastAsia="zh-CN"/>
        </w:rPr>
        <w:t>。违约金</w:t>
      </w:r>
      <w:r>
        <w:rPr>
          <w:rFonts w:hint="eastAsia" w:ascii="宋体" w:hAnsi="宋体" w:eastAsia="宋体" w:cs="宋体"/>
          <w:sz w:val="21"/>
          <w:szCs w:val="21"/>
        </w:rPr>
        <w:t>的支付不免除</w:t>
      </w:r>
      <w:r>
        <w:rPr>
          <w:rFonts w:hint="eastAsia" w:ascii="宋体" w:hAnsi="宋体" w:eastAsia="宋体" w:cs="宋体"/>
          <w:sz w:val="21"/>
          <w:szCs w:val="21"/>
          <w:lang w:val="en-US" w:eastAsia="zh-CN"/>
        </w:rPr>
        <w:t>乙</w:t>
      </w:r>
      <w:r>
        <w:rPr>
          <w:rFonts w:hint="eastAsia" w:ascii="宋体" w:hAnsi="宋体" w:eastAsia="宋体" w:cs="宋体"/>
          <w:sz w:val="21"/>
          <w:szCs w:val="21"/>
        </w:rPr>
        <w:t>方其他义务的继续</w:t>
      </w:r>
      <w:r>
        <w:rPr>
          <w:rFonts w:hint="eastAsia" w:ascii="宋体" w:hAnsi="宋体" w:eastAsia="宋体" w:cs="宋体"/>
          <w:sz w:val="21"/>
          <w:szCs w:val="21"/>
          <w:lang w:eastAsia="zh-CN"/>
        </w:rPr>
        <w:t>，</w:t>
      </w:r>
      <w:r>
        <w:rPr>
          <w:rFonts w:hint="eastAsia" w:ascii="宋体" w:hAnsi="宋体" w:eastAsia="宋体" w:cs="宋体"/>
          <w:sz w:val="21"/>
          <w:szCs w:val="21"/>
        </w:rPr>
        <w:t>履行</w:t>
      </w:r>
      <w:r>
        <w:rPr>
          <w:rFonts w:hint="eastAsia" w:ascii="宋体" w:hAnsi="宋体" w:eastAsia="宋体" w:cs="宋体"/>
          <w:sz w:val="21"/>
          <w:szCs w:val="21"/>
          <w:lang w:val="en-US" w:eastAsia="zh-CN"/>
        </w:rPr>
        <w:t>违约</w:t>
      </w:r>
      <w:r>
        <w:rPr>
          <w:rFonts w:hint="eastAsia" w:ascii="宋体" w:hAnsi="宋体" w:eastAsia="宋体" w:cs="宋体"/>
          <w:color w:val="000000"/>
          <w:sz w:val="22"/>
          <w:highlight w:val="none"/>
          <w:lang w:val="en-US" w:eastAsia="zh-CN"/>
        </w:rPr>
        <w:t>金金额为甲方支付和结算金额*4*LPR，LPR取当月贷款市场报价利率。</w:t>
      </w:r>
    </w:p>
    <w:p w14:paraId="22EBF53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任何一方保证在本次合作中获知或获准使用的另一方的商业信息、技术信息、经营信息等（包括但不限于硬件、软件、程序、密码、商品名、技术、许可证、专利、商标、LOGO、技术知识），获得方对此无任何权利或利益，亦不得向任何第三方披露或公开。任一方不得将对方商务及人员的信息用作任何除本合同目的以外的商业目的。</w:t>
      </w:r>
    </w:p>
    <w:p w14:paraId="512A5DF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以上保密条款并不因本合同的解除和终止而失效。</w:t>
      </w:r>
    </w:p>
    <w:p w14:paraId="6163047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甲乙双方协商一致，可以变更本合同及附件相关约定或直接解除本合同；本合同的变更、解除应以书面形式约定。任何一方未经对方书面同意违反或变更本合同的约定，应当承担由此给对方造成的一切损失。</w:t>
      </w:r>
    </w:p>
    <w:p w14:paraId="2EB0787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合同有效期内，任何一方欲提前解除本合同的，应当提前35日书面通知，并经双方协商一致；否则，给对方造成的一切损失均由解除方承担。</w:t>
      </w:r>
    </w:p>
    <w:p w14:paraId="43096E01">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本合同的期满或终止，不影响守约方依照本合同的约定追究违约方违约责任的权利。</w:t>
      </w:r>
    </w:p>
    <w:p w14:paraId="5BCDE5DE">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因政府行为或不可抗力因素导致本合同部分条款或全部条款无法履行的，遭受该行为的一方不承担违约责任。前述政府行为包括但不限于因中华人民共和国政府机关不授予或取消甲方、乙方相应经营资质或权利。</w:t>
      </w:r>
    </w:p>
    <w:p w14:paraId="04F856C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须按约足额支付服务费用，如未按约支付逾期超过十日的，自应付款之日起，每逾期一日，甲方应向乙方支付逾期款项0.5%作为违约金，违约金的支付不免除甲方其他义务的继续履行；甲方逾期支付超过30日的，乙方有权解除本合同。</w:t>
      </w:r>
    </w:p>
    <w:p w14:paraId="4625138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一方（守约方）有证据证明另一方（违约方）实质性违反本合同及附件约定，违约方在收到非违约方要求其纠正违约行为的书面通知之日起3个工作日内未纠正其违约行为的，守约方有权解除本合同，并要求违约方就违约行为予以赔偿。</w:t>
      </w:r>
    </w:p>
    <w:p w14:paraId="176B5E6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期内任何一方有违法或违反本合同约定的行为，损害另一方或服务人员利益的，遭受损害方有权单方面解除本合同，解除通知自到达对方时生效。同时受损方有权要求另一方承担违约责任，赔偿受损方全部损失，包括受损方因维权而产生的诉讼案件受理费、律师费、评估费、鉴定费、保全费等。前述责任及相关费用不因本合同的解除和终止而失效。</w:t>
      </w:r>
    </w:p>
    <w:p w14:paraId="0D11D4B7">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甲乙双方在合同签订的同时，需向对方提供相关资质证明文件。</w:t>
      </w:r>
    </w:p>
    <w:p w14:paraId="001A198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甲乙双方确认，乙方经甲方同意后，可以使用甲方的商标、企业名称等相关标志。</w:t>
      </w:r>
    </w:p>
    <w:p w14:paraId="0452B1A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因甲方原因发生服务人员争议或纠纷的（如超出服务时长的加班费、休息休假、福利待遇等），乙方接到甲方通知后第一时间协同甲方出面处理，包括协调纠纷、安排专人出庭参与仲裁或诉讼等，以“解决纠纷，稳定服务”为基本原则，由甲方承担最终经济赔偿责任。乙方因此产生垫付费用的，甲方应当相应偿还，但乙方垫付费用需事先经甲方书面同意，否则甲方不承担偿还义务。。</w:t>
      </w:r>
    </w:p>
    <w:p w14:paraId="73762A6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由于不可抗力事件（即当事人不能预见、不能避免并不能克服的客观情况，包括地震、洪水等自然灾害和战争、罢工、骚乱等社会原因，政府政策、法律和行政措施的变化），直接影响合同不能履行或不能按约定条件履行时，双方均可按照不可抗力影响部分或全部免责。但遭遇不可抗力的一方应将事故情况及时通知对方，以减轻可能给对方造成的损失，并在合理期限内提供证明。</w:t>
      </w:r>
    </w:p>
    <w:p w14:paraId="1746D99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文首约定的地址、电话、联系人和电子邮件地址等为双方指定的有效联系方式，任何从其发出或接收到的信息均视为获得了充分的授权和认可。并作为双方履行合同、解决合同争议时接收其他方商业文件信函或司法机关（法院、仲裁机构等）诉讼、仲裁文书送达的通讯地址和联系方式。</w:t>
      </w:r>
    </w:p>
    <w:p w14:paraId="1415A9A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双方确认：合同文首确定的通讯地址、联系方式真实有效，因己方提供或确认的通讯地址或联系方式不准确、或通讯地址变更后未及时告知对方、司法机关或当事人和指定接收人拒签等原因，导致诉讼文书未能被当事人实际接收的，邮寄送达以文书退回之日视为送达之日；直接送达以送达人当场在送达回证上记明情况之日视为送达之日。同时，乙方应确保其提供的通讯地址准确无误，并在变更后及时书面通知甲方；若因乙方未履行此义务导致送达不能，乙方应承担由此产生的一切法律后果。</w:t>
      </w:r>
    </w:p>
    <w:p w14:paraId="1E1A4FE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本合同在执行中未尽事宜，双方可另行签订补充协议，补充协议与本合同具有同等法律效力。</w:t>
      </w:r>
    </w:p>
    <w:p w14:paraId="7278EBEB">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本合同发生纠纷时，甲乙双方应协商解决，协商不成时，任何一方应向本合同签署地人民法院提起诉讼，诉讼费用由过错方承担。</w:t>
      </w:r>
    </w:p>
    <w:p w14:paraId="23FF98C0">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本合同自签名或盖章时生效，一式二份，甲乙双方各执一份，具有同等法律效力。</w:t>
      </w:r>
    </w:p>
    <w:p w14:paraId="1F93B353">
      <w:pPr>
        <w:pStyle w:val="14"/>
        <w:snapToGrid w:val="0"/>
        <w:spacing w:before="0" w:beforeAutospacing="0" w:after="50" w:afterAutospacing="0" w:line="440" w:lineRule="exact"/>
        <w:ind w:left="0"/>
        <w:rPr>
          <w:rFonts w:ascii="宋体" w:hAnsi="宋体" w:eastAsia="宋体" w:cs="宋体"/>
          <w:sz w:val="21"/>
          <w:szCs w:val="21"/>
        </w:rPr>
      </w:pPr>
    </w:p>
    <w:p w14:paraId="00534C20">
      <w:pPr>
        <w:pStyle w:val="14"/>
        <w:snapToGrid w:val="0"/>
        <w:spacing w:before="0" w:beforeAutospacing="0" w:after="50" w:afterAutospacing="0" w:line="440" w:lineRule="exact"/>
        <w:ind w:left="0"/>
        <w:rPr>
          <w:rFonts w:ascii="宋体" w:hAnsi="宋体" w:eastAsia="宋体" w:cs="宋体"/>
          <w:sz w:val="21"/>
          <w:szCs w:val="21"/>
        </w:rPr>
      </w:pPr>
    </w:p>
    <w:p w14:paraId="169C1A5B">
      <w:pPr>
        <w:pStyle w:val="14"/>
        <w:snapToGrid w:val="0"/>
        <w:spacing w:before="0" w:beforeAutospacing="0" w:after="50" w:afterAutospacing="0" w:line="440" w:lineRule="exact"/>
        <w:ind w:left="0"/>
        <w:rPr>
          <w:rFonts w:ascii="宋体" w:hAnsi="宋体" w:eastAsia="宋体" w:cs="宋体"/>
          <w:bCs w:val="0"/>
          <w:iCs w:val="0"/>
          <w:kern w:val="2"/>
          <w:sz w:val="21"/>
          <w:szCs w:val="21"/>
        </w:rPr>
      </w:pPr>
      <w:r>
        <w:rPr>
          <w:rFonts w:hint="eastAsia" w:ascii="宋体" w:hAnsi="宋体" w:eastAsia="宋体" w:cs="宋体"/>
          <w:sz w:val="21"/>
          <w:szCs w:val="21"/>
        </w:rPr>
        <w:t xml:space="preserve">甲方（盖章）： </w:t>
      </w:r>
      <w:r>
        <w:rPr>
          <w:rFonts w:hint="eastAsia"/>
        </w:rPr>
        <w:t xml:space="preserve">                              </w:t>
      </w:r>
      <w:r>
        <w:rPr>
          <w:rFonts w:hint="eastAsia" w:ascii="宋体" w:hAnsi="宋体" w:eastAsia="宋体" w:cs="宋体"/>
          <w:sz w:val="21"/>
          <w:szCs w:val="21"/>
        </w:rPr>
        <w:t>乙方（盖章）：</w:t>
      </w:r>
      <w:r>
        <w:rPr>
          <w:rFonts w:hint="eastAsia"/>
        </w:rPr>
        <w:t xml:space="preserve"> </w:t>
      </w:r>
    </w:p>
    <w:p w14:paraId="7DABC769">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                     </w:t>
      </w:r>
    </w:p>
    <w:p w14:paraId="420DF1C0">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日期： 2025 年 6  月 2  日</w:t>
      </w:r>
      <w:r>
        <w:rPr>
          <w:rFonts w:hint="eastAsia" w:ascii="宋体" w:hAnsi="宋体" w:eastAsia="宋体" w:cs="宋体"/>
          <w:sz w:val="21"/>
          <w:szCs w:val="21"/>
        </w:rPr>
        <w:tab/>
      </w:r>
      <w:r>
        <w:rPr>
          <w:rFonts w:hint="eastAsia" w:ascii="宋体" w:hAnsi="宋体" w:eastAsia="宋体" w:cs="宋体"/>
          <w:sz w:val="21"/>
          <w:szCs w:val="21"/>
        </w:rPr>
        <w:t xml:space="preserve">          日期：2025 年 6  月 2  日</w:t>
      </w:r>
    </w:p>
    <w:p w14:paraId="2C00204D">
      <w:pPr>
        <w:widowControl w:val="0"/>
        <w:spacing w:before="0" w:beforeAutospacing="0" w:after="0" w:afterAutospacing="0" w:line="400" w:lineRule="exact"/>
        <w:ind w:left="0" w:right="-70" w:rightChars="-39"/>
        <w:jc w:val="center"/>
        <w:rPr>
          <w:rFonts w:ascii="宋体" w:hAnsi="宋体" w:eastAsia="宋体" w:cs="宋体"/>
          <w:b/>
          <w:iCs w:val="0"/>
          <w:kern w:val="2"/>
          <w:sz w:val="36"/>
          <w:szCs w:val="36"/>
        </w:rPr>
        <w:sectPr>
          <w:footerReference r:id="rId7" w:type="first"/>
          <w:headerReference r:id="rId5" w:type="default"/>
          <w:footerReference r:id="rId6" w:type="default"/>
          <w:pgSz w:w="11906" w:h="16838"/>
          <w:pgMar w:top="1157" w:right="1633" w:bottom="1157" w:left="1633" w:header="907" w:footer="992" w:gutter="0"/>
          <w:cols w:space="0" w:num="1"/>
          <w:docGrid w:type="lines" w:linePitch="312" w:charSpace="0"/>
        </w:sectPr>
      </w:pPr>
    </w:p>
    <w:p w14:paraId="1BE403BD">
      <w:pPr>
        <w:widowControl w:val="0"/>
        <w:spacing w:before="0" w:beforeAutospacing="0" w:after="0" w:afterAutospacing="0" w:line="400" w:lineRule="exact"/>
        <w:ind w:left="0" w:right="-70" w:rightChars="-39"/>
        <w:jc w:val="center"/>
        <w:rPr>
          <w:rFonts w:ascii="宋体" w:hAnsi="宋体" w:eastAsia="宋体" w:cs="宋体"/>
          <w:b/>
          <w:iCs w:val="0"/>
          <w:kern w:val="2"/>
          <w:sz w:val="36"/>
          <w:szCs w:val="36"/>
        </w:rPr>
      </w:pPr>
      <w:r>
        <w:rPr>
          <w:rFonts w:hint="eastAsia" w:ascii="宋体" w:hAnsi="宋体" w:eastAsia="宋体" w:cs="宋体"/>
          <w:b/>
          <w:iCs w:val="0"/>
          <w:kern w:val="2"/>
          <w:sz w:val="36"/>
          <w:szCs w:val="36"/>
        </w:rPr>
        <w:t>服务确认书</w:t>
      </w:r>
    </w:p>
    <w:p w14:paraId="1570345E">
      <w:pPr>
        <w:widowControl w:val="0"/>
        <w:spacing w:before="0" w:beforeAutospacing="0" w:after="0" w:afterAutospacing="0" w:line="400" w:lineRule="exact"/>
        <w:ind w:left="0" w:right="-70" w:rightChars="-39"/>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甲方：</w:t>
      </w:r>
      <w:r>
        <w:rPr>
          <w:rFonts w:hint="eastAsia"/>
        </w:rPr>
        <w:t>中高后勤服务（新疆）有限公司</w:t>
      </w:r>
    </w:p>
    <w:p w14:paraId="0C95B14D">
      <w:pPr>
        <w:widowControl w:val="0"/>
        <w:spacing w:before="0" w:beforeAutospacing="0" w:after="0" w:afterAutospacing="0" w:line="400" w:lineRule="exact"/>
        <w:ind w:left="0" w:right="-70" w:rightChars="-39"/>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乙方：</w:t>
      </w:r>
      <w:r>
        <w:rPr>
          <w:rFonts w:hint="eastAsia" w:ascii="宋体" w:hAnsi="宋体" w:eastAsia="宋体" w:cs="宋体"/>
          <w:bCs w:val="0"/>
          <w:iCs w:val="0"/>
          <w:color w:val="000000"/>
          <w:kern w:val="2"/>
          <w:sz w:val="21"/>
          <w:szCs w:val="21"/>
        </w:rPr>
        <w:t>四川省嵘智科技有限公司</w:t>
      </w:r>
    </w:p>
    <w:p w14:paraId="65BF7E75">
      <w:pPr>
        <w:widowControl w:val="0"/>
        <w:spacing w:before="0" w:beforeAutospacing="0" w:after="0" w:afterAutospacing="0" w:line="400" w:lineRule="exact"/>
        <w:ind w:left="0" w:right="-70" w:rightChars="-39" w:firstLine="420" w:firstLineChars="200"/>
        <w:rPr>
          <w:rFonts w:ascii="宋体" w:hAnsi="宋体" w:eastAsia="宋体" w:cs="宋体"/>
          <w:bCs w:val="0"/>
          <w:iCs w:val="0"/>
          <w:color w:val="000000"/>
          <w:kern w:val="2"/>
          <w:sz w:val="21"/>
          <w:szCs w:val="21"/>
        </w:rPr>
      </w:pPr>
      <w:r>
        <w:rPr>
          <w:rFonts w:hint="eastAsia" w:ascii="宋体" w:hAnsi="宋体" w:eastAsia="宋体" w:cs="宋体"/>
          <w:bCs w:val="0"/>
          <w:iCs w:val="0"/>
          <w:color w:val="000000"/>
          <w:kern w:val="2"/>
          <w:sz w:val="21"/>
          <w:szCs w:val="21"/>
        </w:rPr>
        <w:t>本确认书作为《委托服务合同》（合同编号：</w:t>
      </w:r>
      <w:r>
        <w:rPr>
          <w:rFonts w:hint="eastAsia"/>
        </w:rPr>
        <w:t>HT20250627000001</w:t>
      </w:r>
      <w:r>
        <w:rPr>
          <w:rFonts w:hint="eastAsia" w:ascii="宋体" w:hAnsi="宋体" w:eastAsia="宋体" w:cs="宋体"/>
          <w:bCs w:val="0"/>
          <w:iCs w:val="0"/>
          <w:color w:val="000000"/>
          <w:kern w:val="2"/>
          <w:sz w:val="21"/>
          <w:szCs w:val="21"/>
        </w:rPr>
        <w:t>，以下简称“原合同”）的附件，与原合同具有同等法律效力，原合同</w:t>
      </w:r>
      <w:r>
        <w:rPr>
          <w:rFonts w:hint="eastAsia" w:ascii="Calibri" w:hAnsi="Calibri" w:eastAsia="宋体" w:cs="Times New Roman"/>
          <w:bCs w:val="0"/>
          <w:iCs w:val="0"/>
          <w:kern w:val="2"/>
          <w:sz w:val="21"/>
          <w:szCs w:val="20"/>
        </w:rPr>
        <w:t>与本确认书冲突的</w:t>
      </w:r>
      <w:r>
        <w:rPr>
          <w:rFonts w:hint="eastAsia" w:ascii="宋体" w:hAnsi="宋体" w:eastAsia="宋体" w:cs="宋体"/>
          <w:bCs w:val="0"/>
          <w:iCs w:val="0"/>
          <w:color w:val="000000"/>
          <w:kern w:val="2"/>
          <w:sz w:val="21"/>
          <w:szCs w:val="21"/>
        </w:rPr>
        <w:t>以本确认书为准。</w:t>
      </w:r>
    </w:p>
    <w:p w14:paraId="7E634423">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服务内容</w:t>
      </w:r>
    </w:p>
    <w:p w14:paraId="4139F9A9">
      <w:pPr>
        <w:widowControl w:val="0"/>
        <w:numPr>
          <w:ilvl w:val="0"/>
          <w:numId w:val="4"/>
        </w:numPr>
        <w:spacing w:before="0" w:beforeAutospacing="0" w:after="0" w:afterAutospacing="0" w:line="400" w:lineRule="exact"/>
        <w:ind w:left="845"/>
        <w:jc w:val="both"/>
        <w:rPr>
          <w:rFonts w:ascii="宋体" w:hAnsi="宋体" w:eastAsia="宋体" w:cs="宋体"/>
          <w:bCs w:val="0"/>
          <w:iCs w:val="0"/>
          <w:kern w:val="2"/>
          <w:sz w:val="21"/>
          <w:szCs w:val="21"/>
        </w:rPr>
      </w:pPr>
      <w:r>
        <w:rPr>
          <w:rFonts w:hint="eastAsia" w:ascii="宋体" w:hAnsi="宋体" w:eastAsia="宋体" w:cs="宋体"/>
          <w:sz w:val="21"/>
          <w:szCs w:val="21"/>
        </w:rPr>
        <w:t>乙方接受甲方委托为其提供</w:t>
      </w:r>
      <w:r>
        <w:rPr>
          <w:rFonts w:hint="eastAsia" w:ascii="宋体" w:hAnsi="宋体" w:eastAsia="宋体" w:cs="宋体"/>
          <w:b/>
          <w:bCs w:val="0"/>
          <w:sz w:val="21"/>
          <w:szCs w:val="21"/>
          <w:u w:val="single"/>
        </w:rPr>
        <w:t xml:space="preserve">  物业管理  </w:t>
      </w:r>
      <w:r>
        <w:rPr>
          <w:rFonts w:hint="eastAsia" w:ascii="宋体" w:hAnsi="宋体" w:eastAsia="宋体" w:cs="宋体"/>
          <w:sz w:val="21"/>
          <w:szCs w:val="21"/>
        </w:rPr>
        <w:t>服务</w:t>
      </w:r>
      <w:r>
        <w:rPr>
          <w:rFonts w:hint="eastAsia" w:ascii="宋体" w:hAnsi="宋体" w:eastAsia="宋体" w:cs="宋体"/>
          <w:bCs w:val="0"/>
          <w:iCs w:val="0"/>
          <w:kern w:val="2"/>
          <w:sz w:val="21"/>
          <w:szCs w:val="21"/>
        </w:rPr>
        <w:t>。</w:t>
      </w:r>
    </w:p>
    <w:p w14:paraId="682BA77A">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任务需求</w:t>
      </w:r>
    </w:p>
    <w:p w14:paraId="6DC4E06A">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任务周期：</w:t>
      </w:r>
      <w:r>
        <w:rPr>
          <w:rFonts w:hint="eastAsia" w:ascii="宋体" w:hAnsi="宋体" w:eastAsia="宋体" w:cs="宋体"/>
          <w:sz w:val="21"/>
          <w:szCs w:val="21"/>
        </w:rPr>
        <w:t>【 2025 】年【 6 】月【 2 】日起至【 2026  】年【 6 】月【 1 】日</w:t>
      </w:r>
      <w:r>
        <w:rPr>
          <w:rFonts w:hint="eastAsia" w:ascii="宋体" w:hAnsi="宋体" w:eastAsia="宋体" w:cs="Times New Roman"/>
          <w:bCs w:val="0"/>
          <w:iCs w:val="0"/>
          <w:kern w:val="2"/>
          <w:sz w:val="21"/>
          <w:szCs w:val="21"/>
        </w:rPr>
        <w:t>；</w:t>
      </w:r>
    </w:p>
    <w:p w14:paraId="34E22E55">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任务名称：</w:t>
      </w:r>
      <w:r>
        <w:rPr>
          <w:rFonts w:hint="eastAsia" w:ascii="宋体" w:hAnsi="宋体" w:eastAsia="宋体" w:cs="Times New Roman"/>
          <w:bCs w:val="0"/>
          <w:iCs w:val="0"/>
          <w:kern w:val="2"/>
          <w:sz w:val="21"/>
          <w:szCs w:val="21"/>
          <w:u w:val="single"/>
        </w:rPr>
        <w:t xml:space="preserve"> 物业服务</w:t>
      </w:r>
      <w:r>
        <w:rPr>
          <w:rFonts w:hint="eastAsia" w:ascii="宋体" w:hAnsi="宋体" w:eastAsia="宋体" w:cs="Times New Roman"/>
          <w:bCs w:val="0"/>
          <w:iCs w:val="0"/>
          <w:kern w:val="2"/>
          <w:sz w:val="21"/>
          <w:szCs w:val="21"/>
        </w:rPr>
        <w:t>；</w:t>
      </w:r>
    </w:p>
    <w:p w14:paraId="6418350A">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任务要求描述：</w:t>
      </w:r>
      <w:r>
        <w:rPr>
          <w:rFonts w:hint="eastAsia" w:ascii="宋体" w:hAnsi="宋体" w:eastAsia="宋体" w:cs="Times New Roman"/>
          <w:bCs w:val="0"/>
          <w:iCs w:val="0"/>
          <w:kern w:val="2"/>
          <w:sz w:val="21"/>
          <w:szCs w:val="21"/>
          <w:u w:val="single"/>
        </w:rPr>
        <w:t>根据甲方的业务需求，提供物业管理服务，具体以甲方验收为准</w:t>
      </w:r>
      <w:r>
        <w:rPr>
          <w:rFonts w:hint="eastAsia" w:ascii="宋体" w:hAnsi="宋体" w:eastAsia="宋体" w:cs="Times New Roman"/>
          <w:bCs w:val="0"/>
          <w:iCs w:val="0"/>
          <w:kern w:val="2"/>
          <w:sz w:val="21"/>
          <w:szCs w:val="21"/>
        </w:rPr>
        <w:t>；</w:t>
      </w:r>
    </w:p>
    <w:p w14:paraId="0FB7A963">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服务地点：</w:t>
      </w:r>
      <w:r>
        <w:rPr>
          <w:rFonts w:hint="eastAsia" w:ascii="宋体" w:hAnsi="宋体" w:eastAsia="宋体" w:cs="Times New Roman"/>
          <w:bCs w:val="0"/>
          <w:iCs w:val="0"/>
          <w:kern w:val="2"/>
          <w:sz w:val="21"/>
          <w:szCs w:val="21"/>
          <w:u w:val="single"/>
        </w:rPr>
        <w:t>甲方指定地点</w:t>
      </w:r>
      <w:r>
        <w:rPr>
          <w:rFonts w:hint="eastAsia" w:ascii="宋体" w:hAnsi="宋体" w:eastAsia="宋体" w:cs="Times New Roman"/>
          <w:bCs w:val="0"/>
          <w:iCs w:val="0"/>
          <w:kern w:val="2"/>
          <w:sz w:val="21"/>
          <w:szCs w:val="21"/>
        </w:rPr>
        <w:t>；</w:t>
      </w:r>
    </w:p>
    <w:p w14:paraId="13E9EBE5">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计划单价：</w:t>
      </w:r>
      <w:r>
        <w:rPr>
          <w:rFonts w:hint="eastAsia" w:ascii="宋体" w:hAnsi="宋体" w:eastAsia="宋体" w:cs="Times New Roman"/>
          <w:bCs w:val="0"/>
          <w:iCs w:val="0"/>
          <w:kern w:val="2"/>
          <w:sz w:val="21"/>
          <w:szCs w:val="21"/>
          <w:u w:val="single"/>
        </w:rPr>
        <w:t>以服务报价单为准</w:t>
      </w:r>
      <w:r>
        <w:rPr>
          <w:rFonts w:hint="eastAsia" w:ascii="宋体" w:hAnsi="宋体" w:eastAsia="宋体" w:cs="Times New Roman"/>
          <w:bCs w:val="0"/>
          <w:iCs w:val="0"/>
          <w:kern w:val="2"/>
          <w:sz w:val="21"/>
          <w:szCs w:val="21"/>
        </w:rPr>
        <w:t>。</w:t>
      </w:r>
    </w:p>
    <w:p w14:paraId="100B7B1F">
      <w:pPr>
        <w:widowControl w:val="0"/>
        <w:numPr>
          <w:ilvl w:val="0"/>
          <w:numId w:val="3"/>
        </w:numPr>
        <w:spacing w:before="0" w:beforeAutospacing="0" w:after="0" w:afterAutospacing="0" w:line="400" w:lineRule="exact"/>
        <w:ind w:left="0"/>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费用及支付</w:t>
      </w:r>
    </w:p>
    <w:p w14:paraId="237F2051">
      <w:pPr>
        <w:numPr>
          <w:ilvl w:val="0"/>
          <w:numId w:val="4"/>
        </w:numPr>
        <w:adjustRightInd w:val="0"/>
        <w:snapToGrid w:val="0"/>
        <w:spacing w:before="0" w:beforeAutospacing="0" w:after="0" w:afterAutospacing="0" w:line="400" w:lineRule="exact"/>
        <w:ind w:left="845"/>
        <w:jc w:val="both"/>
        <w:rPr>
          <w:rFonts w:ascii="Calibri" w:hAnsi="Calibri" w:eastAsia="宋体" w:cs="Times New Roman"/>
          <w:bCs w:val="0"/>
          <w:iCs w:val="0"/>
          <w:kern w:val="2"/>
          <w:sz w:val="21"/>
          <w:szCs w:val="20"/>
        </w:rPr>
      </w:pPr>
      <w:r>
        <w:rPr>
          <w:rFonts w:hint="eastAsia" w:ascii="Calibri" w:hAnsi="Calibri" w:eastAsia="宋体" w:cs="Times New Roman"/>
          <w:bCs w:val="0"/>
          <w:iCs w:val="0"/>
          <w:kern w:val="2"/>
          <w:sz w:val="21"/>
          <w:szCs w:val="20"/>
        </w:rPr>
        <w:t>甲方需在乙方完全履行服务义务后，向服务商（即乙方）支付服务费。实际结算价格以双方确认的付款通知书为准。</w:t>
      </w:r>
    </w:p>
    <w:p w14:paraId="5F0784E9">
      <w:pPr>
        <w:numPr>
          <w:ilvl w:val="0"/>
          <w:numId w:val="4"/>
        </w:numPr>
        <w:adjustRightInd w:val="0"/>
        <w:snapToGrid w:val="0"/>
        <w:spacing w:before="0" w:beforeAutospacing="0" w:after="0" w:afterAutospacing="0" w:line="400" w:lineRule="exact"/>
        <w:ind w:left="845"/>
        <w:jc w:val="both"/>
        <w:rPr>
          <w:rFonts w:ascii="宋体" w:hAnsi="宋体" w:eastAsia="宋体" w:cs="Times New Roman"/>
          <w:bCs w:val="0"/>
          <w:iCs w:val="0"/>
          <w:kern w:val="2"/>
          <w:szCs w:val="18"/>
        </w:rPr>
      </w:pPr>
      <w:r>
        <w:rPr>
          <w:rFonts w:hint="eastAsia" w:ascii="Calibri" w:hAnsi="Calibri" w:eastAsia="宋体" w:cs="Times New Roman"/>
          <w:bCs w:val="0"/>
          <w:iCs w:val="0"/>
          <w:kern w:val="2"/>
          <w:sz w:val="21"/>
          <w:szCs w:val="20"/>
        </w:rPr>
        <w:t>每月【3】日前，双方对上月乙方提供的服务成果等进行确认，逾期未确认的，视为验收通过，确认无误后，乙方按本协议约定的标准计算服务费并向甲方发送账单报表或付款通知书。</w:t>
      </w:r>
    </w:p>
    <w:p w14:paraId="3E82D568">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其他</w:t>
      </w:r>
    </w:p>
    <w:p w14:paraId="3C41CCCD">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本确认书</w:t>
      </w:r>
      <w:r>
        <w:rPr>
          <w:rFonts w:hint="eastAsia" w:ascii="Calibri" w:hAnsi="Calibri" w:eastAsia="宋体" w:cs="Times New Roman"/>
          <w:bCs w:val="0"/>
          <w:iCs w:val="0"/>
          <w:kern w:val="2"/>
          <w:sz w:val="21"/>
          <w:szCs w:val="20"/>
        </w:rPr>
        <w:t>自双方签字或盖章后生效，</w:t>
      </w:r>
      <w:r>
        <w:rPr>
          <w:rFonts w:hint="eastAsia" w:ascii="宋体" w:hAnsi="宋体" w:eastAsia="宋体" w:cs="Times New Roman"/>
          <w:bCs w:val="0"/>
          <w:iCs w:val="0"/>
          <w:kern w:val="2"/>
          <w:sz w:val="21"/>
          <w:szCs w:val="21"/>
        </w:rPr>
        <w:t>一式二份，甲乙双方各执一份，具有同等法律效力。</w:t>
      </w:r>
    </w:p>
    <w:p w14:paraId="435A9C08">
      <w:pPr>
        <w:widowControl w:val="0"/>
        <w:spacing w:before="0" w:beforeAutospacing="0" w:after="0" w:afterAutospacing="0" w:line="400" w:lineRule="exact"/>
        <w:ind w:left="420"/>
        <w:jc w:val="both"/>
        <w:rPr>
          <w:rFonts w:ascii="宋体" w:hAnsi="宋体" w:eastAsia="宋体" w:cs="Times New Roman"/>
          <w:bCs w:val="0"/>
          <w:iCs w:val="0"/>
          <w:kern w:val="2"/>
          <w:sz w:val="21"/>
          <w:szCs w:val="21"/>
        </w:rPr>
      </w:pPr>
    </w:p>
    <w:tbl>
      <w:tblPr>
        <w:tblStyle w:val="8"/>
        <w:tblW w:w="0" w:type="auto"/>
        <w:tblInd w:w="0" w:type="dxa"/>
        <w:tblLayout w:type="fixed"/>
        <w:tblCellMar>
          <w:top w:w="0" w:type="dxa"/>
          <w:left w:w="108" w:type="dxa"/>
          <w:bottom w:w="0" w:type="dxa"/>
          <w:right w:w="108" w:type="dxa"/>
        </w:tblCellMar>
      </w:tblPr>
      <w:tblGrid>
        <w:gridCol w:w="4840"/>
        <w:gridCol w:w="4840"/>
      </w:tblGrid>
      <w:tr w14:paraId="193A4FE6">
        <w:tblPrEx>
          <w:tblCellMar>
            <w:top w:w="0" w:type="dxa"/>
            <w:left w:w="108" w:type="dxa"/>
            <w:bottom w:w="0" w:type="dxa"/>
            <w:right w:w="108" w:type="dxa"/>
          </w:tblCellMar>
        </w:tblPrEx>
        <w:trPr>
          <w:trHeight w:val="855" w:hRule="atLeast"/>
        </w:trPr>
        <w:tc>
          <w:tcPr>
            <w:tcW w:w="4840" w:type="dxa"/>
          </w:tcPr>
          <w:p w14:paraId="0620A44B">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甲方（盖章）：</w:t>
            </w:r>
          </w:p>
          <w:p w14:paraId="2D4B8C5E">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p>
        </w:tc>
        <w:tc>
          <w:tcPr>
            <w:tcW w:w="4840" w:type="dxa"/>
          </w:tcPr>
          <w:p w14:paraId="4654B1B0">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乙方（盖章）：</w:t>
            </w:r>
          </w:p>
          <w:p w14:paraId="3A3187FA">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p>
        </w:tc>
      </w:tr>
      <w:tr w14:paraId="5E6ADE11">
        <w:tblPrEx>
          <w:tblCellMar>
            <w:top w:w="0" w:type="dxa"/>
            <w:left w:w="108" w:type="dxa"/>
            <w:bottom w:w="0" w:type="dxa"/>
            <w:right w:w="108" w:type="dxa"/>
          </w:tblCellMar>
        </w:tblPrEx>
        <w:trPr>
          <w:trHeight w:val="362" w:hRule="atLeast"/>
        </w:trPr>
        <w:tc>
          <w:tcPr>
            <w:tcW w:w="4840" w:type="dxa"/>
          </w:tcPr>
          <w:p w14:paraId="6D17E85E">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日期：2025 年 6 月 2 日</w:t>
            </w:r>
          </w:p>
        </w:tc>
        <w:tc>
          <w:tcPr>
            <w:tcW w:w="4840" w:type="dxa"/>
          </w:tcPr>
          <w:p w14:paraId="493A58BB">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日期：2025  年  6 月  2 日</w:t>
            </w:r>
          </w:p>
        </w:tc>
      </w:tr>
    </w:tbl>
    <w:p w14:paraId="44D60DBD">
      <w:pPr>
        <w:pStyle w:val="14"/>
        <w:snapToGrid w:val="0"/>
        <w:spacing w:before="0" w:beforeAutospacing="0" w:after="50" w:afterAutospacing="0" w:line="440" w:lineRule="exact"/>
        <w:ind w:left="0" w:firstLine="0" w:firstLineChars="0"/>
        <w:rPr>
          <w:rFonts w:ascii="宋体" w:hAnsi="宋体" w:eastAsia="宋体" w:cs="宋体"/>
          <w:sz w:val="21"/>
          <w:szCs w:val="21"/>
        </w:rPr>
        <w:sectPr>
          <w:footerReference r:id="rId8" w:type="default"/>
          <w:pgSz w:w="11906" w:h="16838"/>
          <w:pgMar w:top="1157" w:right="1633" w:bottom="1157" w:left="1633" w:header="907" w:footer="992" w:gutter="0"/>
          <w:cols w:space="0" w:num="1"/>
          <w:docGrid w:type="lines" w:linePitch="312" w:charSpace="0"/>
        </w:sectPr>
      </w:pPr>
    </w:p>
    <w:p w14:paraId="62D9E426">
      <w:pPr>
        <w:jc w:val="center"/>
        <w:rPr>
          <w:rFonts w:ascii="宋体" w:hAnsi="宋体" w:cs="宋体"/>
          <w:b/>
          <w:szCs w:val="21"/>
        </w:rPr>
      </w:pPr>
      <w:r>
        <w:rPr>
          <w:rFonts w:hint="eastAsia" w:ascii="黑体" w:hAnsi="黑体" w:eastAsia="黑体" w:cs="黑体"/>
          <w:sz w:val="30"/>
          <w:szCs w:val="30"/>
        </w:rPr>
        <w:t>服务报价单</w:t>
      </w:r>
    </w:p>
    <w:p w14:paraId="5C127380">
      <w:pPr>
        <w:spacing w:line="264" w:lineRule="auto"/>
        <w:ind w:firstLine="630" w:firstLineChars="300"/>
        <w:rPr>
          <w:rFonts w:ascii="宋体" w:hAnsi="宋体" w:eastAsia="宋体" w:cs="宋体"/>
          <w:sz w:val="21"/>
          <w:szCs w:val="21"/>
        </w:rPr>
      </w:pPr>
      <w:r>
        <w:rPr>
          <w:rFonts w:hint="eastAsia" w:ascii="宋体" w:hAnsi="宋体" w:eastAsia="宋体" w:cs="宋体"/>
          <w:sz w:val="21"/>
          <w:szCs w:val="21"/>
        </w:rPr>
        <w:t xml:space="preserve">此报价单为甲方【 </w:t>
      </w:r>
      <w:r>
        <w:rPr>
          <w:rFonts w:hint="eastAsia"/>
        </w:rPr>
        <w:t>中高后勤服务（新疆）有限公司</w:t>
      </w:r>
      <w:r>
        <w:rPr>
          <w:rFonts w:hint="eastAsia" w:ascii="宋体" w:hAnsi="宋体" w:eastAsia="宋体" w:cs="宋体"/>
          <w:sz w:val="21"/>
          <w:szCs w:val="21"/>
        </w:rPr>
        <w:t xml:space="preserve">  】通过乙方服务商【</w:t>
      </w:r>
      <w:r>
        <w:rPr>
          <w:rFonts w:hint="eastAsia"/>
        </w:rPr>
        <w:t xml:space="preserve"> 四川省嵘智科技有限公司</w:t>
      </w:r>
      <w:r>
        <w:rPr>
          <w:rFonts w:hint="eastAsia" w:ascii="宋体" w:hAnsi="宋体" w:eastAsia="宋体" w:cs="宋体"/>
          <w:sz w:val="21"/>
          <w:szCs w:val="21"/>
        </w:rPr>
        <w:t xml:space="preserve">  】交付项目服务后核算服务费的结算报价。服务费报价如下：</w:t>
      </w:r>
    </w:p>
    <w:tbl>
      <w:tblPr>
        <w:tblStyle w:val="9"/>
        <w:tblW w:w="862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953"/>
        <w:gridCol w:w="1857"/>
        <w:gridCol w:w="1479"/>
        <w:gridCol w:w="1978"/>
      </w:tblGrid>
      <w:tr w14:paraId="719F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311" w:type="dxa"/>
            <w:gridSpan w:val="2"/>
            <w:vAlign w:val="center"/>
          </w:tcPr>
          <w:p w14:paraId="4AE5CC57">
            <w:pPr>
              <w:spacing w:line="264" w:lineRule="auto"/>
              <w:jc w:val="center"/>
              <w:rPr>
                <w:rFonts w:ascii="宋体" w:hAnsi="宋体" w:eastAsia="宋体" w:cs="宋体"/>
                <w:b/>
                <w:sz w:val="21"/>
                <w:szCs w:val="21"/>
              </w:rPr>
            </w:pPr>
            <w:r>
              <w:rPr>
                <w:rFonts w:hint="eastAsia" w:ascii="宋体" w:hAnsi="宋体" w:eastAsia="宋体" w:cs="宋体"/>
                <w:b/>
                <w:sz w:val="21"/>
                <w:szCs w:val="21"/>
              </w:rPr>
              <w:t>项目运营实际发生费用</w:t>
            </w:r>
          </w:p>
        </w:tc>
        <w:tc>
          <w:tcPr>
            <w:tcW w:w="1857" w:type="dxa"/>
            <w:vAlign w:val="center"/>
          </w:tcPr>
          <w:p w14:paraId="6CDD1373">
            <w:pPr>
              <w:spacing w:line="264" w:lineRule="auto"/>
              <w:jc w:val="center"/>
              <w:rPr>
                <w:rFonts w:ascii="宋体" w:hAnsi="宋体" w:eastAsia="宋体" w:cs="宋体"/>
                <w:b/>
                <w:sz w:val="21"/>
                <w:szCs w:val="21"/>
              </w:rPr>
            </w:pPr>
            <w:r>
              <w:rPr>
                <w:rFonts w:hint="eastAsia" w:ascii="宋体" w:hAnsi="宋体" w:eastAsia="宋体" w:cs="宋体"/>
                <w:b/>
                <w:color w:val="000000"/>
                <w:sz w:val="21"/>
                <w:szCs w:val="21"/>
              </w:rPr>
              <w:t>增值税</w:t>
            </w:r>
          </w:p>
        </w:tc>
        <w:tc>
          <w:tcPr>
            <w:tcW w:w="1479" w:type="dxa"/>
            <w:vAlign w:val="center"/>
          </w:tcPr>
          <w:p w14:paraId="7840078E">
            <w:pPr>
              <w:spacing w:line="264"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服务费率</w:t>
            </w:r>
          </w:p>
        </w:tc>
        <w:tc>
          <w:tcPr>
            <w:tcW w:w="1978" w:type="dxa"/>
            <w:vAlign w:val="center"/>
          </w:tcPr>
          <w:p w14:paraId="4B6EB843">
            <w:pPr>
              <w:spacing w:line="264" w:lineRule="auto"/>
              <w:rPr>
                <w:rFonts w:ascii="宋体" w:hAnsi="宋体" w:eastAsia="宋体" w:cs="宋体"/>
                <w:b/>
                <w:color w:val="000000"/>
                <w:sz w:val="21"/>
                <w:szCs w:val="21"/>
              </w:rPr>
            </w:pPr>
            <w:r>
              <w:rPr>
                <w:rFonts w:hint="eastAsia" w:ascii="宋体" w:hAnsi="宋体" w:eastAsia="宋体" w:cs="宋体"/>
                <w:b/>
                <w:color w:val="000000"/>
                <w:sz w:val="21"/>
                <w:szCs w:val="21"/>
              </w:rPr>
              <w:t>项目综合费率</w:t>
            </w:r>
          </w:p>
        </w:tc>
      </w:tr>
      <w:tr w14:paraId="2590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11" w:type="dxa"/>
            <w:gridSpan w:val="2"/>
            <w:vAlign w:val="center"/>
          </w:tcPr>
          <w:p w14:paraId="1AD1A20E">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运营实际支出</w:t>
            </w:r>
          </w:p>
        </w:tc>
        <w:tc>
          <w:tcPr>
            <w:tcW w:w="1857" w:type="dxa"/>
            <w:vAlign w:val="center"/>
          </w:tcPr>
          <w:p w14:paraId="7742ABA7">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6%</w:t>
            </w:r>
          </w:p>
        </w:tc>
        <w:tc>
          <w:tcPr>
            <w:tcW w:w="1479" w:type="dxa"/>
            <w:vAlign w:val="center"/>
          </w:tcPr>
          <w:p w14:paraId="53C02B30">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0.1%</w:t>
            </w:r>
          </w:p>
        </w:tc>
        <w:tc>
          <w:tcPr>
            <w:tcW w:w="1978" w:type="dxa"/>
            <w:vAlign w:val="center"/>
          </w:tcPr>
          <w:p w14:paraId="0E45C481">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6.1%</w:t>
            </w:r>
          </w:p>
        </w:tc>
      </w:tr>
      <w:tr w14:paraId="7C3C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58" w:type="dxa"/>
          </w:tcPr>
          <w:p w14:paraId="2B7B6F5B">
            <w:pPr>
              <w:spacing w:line="264" w:lineRule="auto"/>
              <w:rPr>
                <w:rFonts w:ascii="宋体" w:hAnsi="宋体" w:eastAsia="宋体" w:cs="宋体"/>
                <w:sz w:val="21"/>
                <w:szCs w:val="21"/>
              </w:rPr>
            </w:pPr>
            <w:r>
              <w:rPr>
                <w:rFonts w:hint="eastAsia" w:ascii="宋体" w:hAnsi="宋体" w:eastAsia="宋体" w:cs="宋体"/>
                <w:sz w:val="21"/>
                <w:szCs w:val="21"/>
              </w:rPr>
              <w:t>备注：</w:t>
            </w:r>
          </w:p>
        </w:tc>
        <w:tc>
          <w:tcPr>
            <w:tcW w:w="7267" w:type="dxa"/>
            <w:gridSpan w:val="4"/>
            <w:vAlign w:val="center"/>
          </w:tcPr>
          <w:p w14:paraId="396BADF5">
            <w:pPr>
              <w:pStyle w:val="14"/>
              <w:numPr>
                <w:ilvl w:val="0"/>
                <w:numId w:val="5"/>
              </w:numPr>
              <w:spacing w:line="276" w:lineRule="auto"/>
              <w:ind w:firstLineChars="0"/>
              <w:rPr>
                <w:rFonts w:ascii="宋体" w:hAnsi="宋体" w:eastAsia="宋体" w:cs="宋体"/>
                <w:sz w:val="20"/>
                <w:szCs w:val="20"/>
              </w:rPr>
            </w:pPr>
            <w:r>
              <w:rPr>
                <w:rFonts w:hint="eastAsia" w:ascii="宋体" w:hAnsi="宋体" w:eastAsia="宋体" w:cs="宋体"/>
                <w:sz w:val="21"/>
                <w:szCs w:val="21"/>
              </w:rPr>
              <w:t>服务费</w:t>
            </w:r>
            <w:r>
              <w:rPr>
                <w:rFonts w:hint="eastAsia" w:ascii="宋体" w:hAnsi="宋体" w:eastAsia="宋体" w:cs="宋体"/>
                <w:sz w:val="20"/>
                <w:szCs w:val="20"/>
              </w:rPr>
              <w:t>=</w:t>
            </w:r>
            <w:r>
              <w:rPr>
                <w:rFonts w:hint="eastAsia" w:ascii="宋体" w:hAnsi="宋体" w:eastAsia="宋体" w:cs="宋体"/>
                <w:bCs w:val="0"/>
                <w:sz w:val="21"/>
                <w:szCs w:val="21"/>
              </w:rPr>
              <w:t>运营实际支出</w:t>
            </w:r>
            <w:r>
              <w:rPr>
                <w:rFonts w:hint="eastAsia" w:ascii="宋体" w:hAnsi="宋体" w:eastAsia="宋体" w:cs="宋体"/>
                <w:sz w:val="20"/>
                <w:szCs w:val="20"/>
              </w:rPr>
              <w:t>*（1+项目综合费率）；</w:t>
            </w:r>
          </w:p>
          <w:p w14:paraId="72FD56CF">
            <w:pPr>
              <w:pStyle w:val="14"/>
              <w:numPr>
                <w:ilvl w:val="0"/>
                <w:numId w:val="5"/>
              </w:numPr>
              <w:spacing w:line="276" w:lineRule="auto"/>
              <w:ind w:firstLineChars="0"/>
              <w:rPr>
                <w:rFonts w:ascii="宋体" w:hAnsi="宋体" w:eastAsia="宋体" w:cs="宋体"/>
                <w:sz w:val="21"/>
                <w:szCs w:val="21"/>
              </w:rPr>
            </w:pPr>
            <w:r>
              <w:rPr>
                <w:rFonts w:hint="eastAsia" w:ascii="宋体" w:hAnsi="宋体" w:eastAsia="宋体" w:cs="宋体"/>
                <w:bCs w:val="0"/>
                <w:sz w:val="21"/>
                <w:szCs w:val="21"/>
              </w:rPr>
              <w:t>运营实际支出</w:t>
            </w:r>
            <w:r>
              <w:rPr>
                <w:rFonts w:hint="eastAsia" w:ascii="宋体" w:hAnsi="宋体" w:eastAsia="宋体" w:cs="宋体"/>
                <w:sz w:val="20"/>
                <w:szCs w:val="20"/>
              </w:rPr>
              <w:t>为乙方因提供符合甲方标准的服务活动而取得的相关报酬。</w:t>
            </w:r>
          </w:p>
          <w:p w14:paraId="7BF835FC">
            <w:pPr>
              <w:pStyle w:val="14"/>
              <w:numPr>
                <w:ilvl w:val="0"/>
                <w:numId w:val="5"/>
              </w:numPr>
              <w:spacing w:line="276" w:lineRule="auto"/>
              <w:ind w:firstLineChars="0"/>
              <w:rPr>
                <w:rFonts w:ascii="宋体" w:hAnsi="宋体" w:eastAsia="宋体" w:cs="宋体"/>
                <w:sz w:val="21"/>
                <w:szCs w:val="21"/>
              </w:rPr>
            </w:pPr>
            <w:r>
              <w:rPr>
                <w:rFonts w:hint="eastAsia" w:ascii="宋体" w:hAnsi="宋体" w:eastAsia="宋体" w:cs="宋体"/>
                <w:sz w:val="20"/>
                <w:szCs w:val="20"/>
              </w:rPr>
              <w:t>本报价单仅作为主合同各方对于服务费报价金额的确认。</w:t>
            </w:r>
          </w:p>
        </w:tc>
      </w:tr>
    </w:tbl>
    <w:p w14:paraId="27217965">
      <w:pPr>
        <w:spacing w:line="276" w:lineRule="auto"/>
        <w:ind w:right="1680"/>
        <w:rPr>
          <w:rFonts w:ascii="微软雅黑" w:hAnsi="微软雅黑" w:cs="微软雅黑"/>
          <w:b/>
          <w:szCs w:val="21"/>
        </w:rPr>
      </w:pPr>
    </w:p>
    <w:p w14:paraId="4A3AD043">
      <w:pPr>
        <w:ind w:left="4680" w:leftChars="2600"/>
        <w:rPr>
          <w:rFonts w:ascii="微软雅黑" w:hAnsi="微软雅黑" w:cs="微软雅黑"/>
          <w:b/>
          <w:sz w:val="21"/>
          <w:szCs w:val="21"/>
        </w:rPr>
      </w:pPr>
      <w:r>
        <w:rPr>
          <w:rFonts w:hint="eastAsia" w:ascii="微软雅黑" w:hAnsi="微软雅黑" w:cs="微软雅黑"/>
          <w:b/>
          <w:sz w:val="21"/>
          <w:szCs w:val="21"/>
        </w:rPr>
        <w:t>客户盖章确认：</w:t>
      </w:r>
    </w:p>
    <w:p w14:paraId="4D547980">
      <w:pPr>
        <w:ind w:left="4680" w:leftChars="2600"/>
        <w:rPr>
          <w:rFonts w:ascii="微软雅黑" w:hAnsi="微软雅黑" w:cs="微软雅黑"/>
          <w:b/>
          <w:sz w:val="21"/>
          <w:szCs w:val="21"/>
        </w:rPr>
      </w:pPr>
    </w:p>
    <w:p w14:paraId="3CC5F133">
      <w:pPr>
        <w:ind w:left="4680" w:leftChars="2600"/>
        <w:rPr>
          <w:rFonts w:ascii="宋体" w:hAnsi="宋体" w:cs="宋体"/>
          <w:sz w:val="21"/>
          <w:szCs w:val="21"/>
        </w:rPr>
      </w:pPr>
      <w:r>
        <w:rPr>
          <w:rFonts w:hint="eastAsia" w:ascii="微软雅黑" w:hAnsi="微软雅黑" w:cs="微软雅黑"/>
          <w:b/>
          <w:sz w:val="21"/>
          <w:szCs w:val="21"/>
        </w:rPr>
        <w:t>服务商盖章确认：</w:t>
      </w:r>
    </w:p>
    <w:p w14:paraId="10C3193B">
      <w:pPr>
        <w:ind w:left="3600" w:leftChars="2000"/>
        <w:jc w:val="center"/>
        <w:rPr>
          <w:b/>
          <w:sz w:val="21"/>
          <w:szCs w:val="21"/>
        </w:rPr>
      </w:pPr>
      <w:r>
        <w:rPr>
          <w:rFonts w:hint="eastAsia"/>
          <w:b/>
          <w:sz w:val="21"/>
          <w:szCs w:val="21"/>
        </w:rPr>
        <w:t xml:space="preserve">   年  月   日</w:t>
      </w:r>
    </w:p>
    <w:p w14:paraId="27ABAEE6">
      <w:pPr>
        <w:ind w:left="3600" w:leftChars="2000"/>
        <w:jc w:val="center"/>
        <w:rPr>
          <w:b/>
          <w:sz w:val="21"/>
          <w:szCs w:val="21"/>
        </w:rPr>
      </w:pPr>
    </w:p>
    <w:p w14:paraId="00616575">
      <w:pPr>
        <w:ind w:left="3600" w:leftChars="2000"/>
        <w:jc w:val="center"/>
        <w:rPr>
          <w:b/>
          <w:sz w:val="21"/>
          <w:szCs w:val="21"/>
        </w:rPr>
      </w:pPr>
    </w:p>
    <w:p w14:paraId="337DD9F3">
      <w:pPr>
        <w:ind w:left="3600" w:leftChars="2000"/>
        <w:jc w:val="center"/>
        <w:rPr>
          <w:b/>
          <w:sz w:val="21"/>
          <w:szCs w:val="21"/>
        </w:rPr>
      </w:pPr>
    </w:p>
    <w:p w14:paraId="7E1F0BB4">
      <w:pPr>
        <w:ind w:left="3600" w:leftChars="2000"/>
        <w:jc w:val="center"/>
        <w:rPr>
          <w:b/>
          <w:sz w:val="21"/>
          <w:szCs w:val="21"/>
        </w:rPr>
      </w:pPr>
    </w:p>
    <w:p w14:paraId="0810EB1C">
      <w:pPr>
        <w:ind w:left="3600" w:leftChars="2000"/>
        <w:jc w:val="center"/>
        <w:rPr>
          <w:b/>
          <w:sz w:val="21"/>
          <w:szCs w:val="21"/>
        </w:rPr>
      </w:pPr>
    </w:p>
    <w:p w14:paraId="25D0D42F">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763458B2">
      <w:pPr>
        <w:pStyle w:val="14"/>
        <w:snapToGrid w:val="0"/>
        <w:spacing w:before="0" w:beforeAutospacing="0" w:after="50" w:afterAutospacing="0" w:line="440" w:lineRule="exact"/>
        <w:ind w:left="0" w:firstLine="0" w:firstLineChars="0"/>
        <w:rPr>
          <w:rFonts w:ascii="宋体" w:hAnsi="宋体" w:eastAsia="宋体" w:cs="宋体"/>
          <w:sz w:val="21"/>
          <w:szCs w:val="21"/>
        </w:rPr>
      </w:pPr>
    </w:p>
    <w:sectPr>
      <w:footerReference r:id="rId9" w:type="default"/>
      <w:pgSz w:w="11906" w:h="16838"/>
      <w:pgMar w:top="1440" w:right="1800" w:bottom="1440" w:left="1800" w:header="851" w:footer="68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F8DA">
    <w:pPr>
      <w:pStyle w:val="4"/>
      <w:tabs>
        <w:tab w:val="center" w:pos="4873"/>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EC20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AEC20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5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B026">
    <w:pPr>
      <w:pStyle w:val="4"/>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1230">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6971230">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B3064">
    <w:pPr>
      <w:pStyle w:val="4"/>
      <w:tabs>
        <w:tab w:val="center" w:pos="4873"/>
        <w:tab w:val="clear" w:pos="4153"/>
        <w:tab w:val="clear" w:pos="8306"/>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E61E">
    <w:pPr>
      <w:pStyle w:val="4"/>
      <w:tabs>
        <w:tab w:val="center" w:pos="4873"/>
        <w:tab w:val="clear" w:pos="4153"/>
        <w:tab w:val="clear" w:pos="8306"/>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3882">
    <w:pPr>
      <w:pStyle w:val="5"/>
      <w:pBdr>
        <w:bottom w:val="none" w:color="auto" w:sz="0" w:space="1"/>
      </w:pBdr>
      <w:ind w:firstLine="210" w:firstLineChars="100"/>
      <w:rPr>
        <w:rFonts w:ascii="宋体" w:hAnsi="宋体" w:eastAsia="宋体" w:cs="宋体"/>
        <w:bCs w:val="0"/>
        <w:color w:val="4472C4" w:themeColor="accent1"/>
        <w:sz w:val="21"/>
        <w:szCs w:val="21"/>
        <w14:textFill>
          <w14:solidFill>
            <w14:schemeClr w14:val="accent1"/>
          </w14:solidFill>
        </w14:textFill>
      </w:rPr>
    </w:pPr>
    <w:r>
      <w:rPr>
        <w:rFonts w:hint="eastAsia" w:ascii="宋体" w:hAnsi="宋体" w:eastAsia="宋体" w:cs="宋体"/>
        <w:bCs w:val="0"/>
        <w:color w:val="4472C4" w:themeColor="accent1"/>
        <w:sz w:val="21"/>
        <w:szCs w:val="21"/>
        <w14:textFill>
          <w14:solidFill>
            <w14:schemeClr w14:val="accent1"/>
          </w14:solidFill>
        </w14:textFill>
      </w:rPr>
      <w:t xml:space="preserve">合同编号： </w:t>
    </w:r>
    <w:r>
      <w:rPr>
        <w:rFonts w:hint="eastAsia"/>
      </w:rPr>
      <w:t>HT20250627000001</w:t>
    </w:r>
    <w:r>
      <w:rPr>
        <w:rFonts w:hint="eastAsia" w:ascii="宋体" w:hAnsi="宋体" w:eastAsia="宋体" w:cs="宋体"/>
        <w:bCs w:val="0"/>
        <w:color w:val="4472C4" w:themeColor="accent1"/>
        <w:sz w:val="21"/>
        <w:szCs w:val="21"/>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212D0"/>
    <w:multiLevelType w:val="singleLevel"/>
    <w:tmpl w:val="949212D0"/>
    <w:lvl w:ilvl="0" w:tentative="0">
      <w:start w:val="1"/>
      <w:numFmt w:val="decimal"/>
      <w:lvlText w:val="%1."/>
      <w:lvlJc w:val="left"/>
      <w:pPr>
        <w:ind w:left="425" w:hanging="425"/>
      </w:pPr>
      <w:rPr>
        <w:rFonts w:hint="default"/>
      </w:rPr>
    </w:lvl>
  </w:abstractNum>
  <w:abstractNum w:abstractNumId="1">
    <w:nsid w:val="04DFDCF3"/>
    <w:multiLevelType w:val="singleLevel"/>
    <w:tmpl w:val="04DFDCF3"/>
    <w:lvl w:ilvl="0" w:tentative="0">
      <w:start w:val="1"/>
      <w:numFmt w:val="decimal"/>
      <w:lvlText w:val="%1."/>
      <w:lvlJc w:val="left"/>
      <w:pPr>
        <w:tabs>
          <w:tab w:val="left" w:pos="312"/>
        </w:tabs>
      </w:pPr>
    </w:lvl>
  </w:abstractNum>
  <w:abstractNum w:abstractNumId="2">
    <w:nsid w:val="24B44883"/>
    <w:multiLevelType w:val="multilevel"/>
    <w:tmpl w:val="24B44883"/>
    <w:lvl w:ilvl="0" w:tentative="0">
      <w:start w:val="1"/>
      <w:numFmt w:val="decimal"/>
      <w:lvlText w:val="%1）"/>
      <w:lvlJc w:val="left"/>
      <w:pPr>
        <w:ind w:left="360" w:hanging="360"/>
      </w:pPr>
      <w:rPr>
        <w:rFonts w:hint="default" w:ascii="宋体" w:hAnsi="宋体"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742B04"/>
    <w:multiLevelType w:val="multilevel"/>
    <w:tmpl w:val="28742B04"/>
    <w:lvl w:ilvl="0" w:tentative="0">
      <w:start w:val="1"/>
      <w:numFmt w:val="chineseCountingThousand"/>
      <w:pStyle w:val="2"/>
      <w:lvlText w:val="第%1条"/>
      <w:lvlJc w:val="left"/>
      <w:pPr>
        <w:tabs>
          <w:tab w:val="left" w:pos="1080"/>
        </w:tabs>
        <w:ind w:left="360" w:hanging="360"/>
      </w:pPr>
      <w:rPr>
        <w:rFonts w:hint="eastAsia"/>
      </w:rPr>
    </w:lvl>
    <w:lvl w:ilvl="1" w:tentative="0">
      <w:start w:val="1"/>
      <w:numFmt w:val="decimal"/>
      <w:lvlText w:val="%2."/>
      <w:lvlJc w:val="left"/>
      <w:pPr>
        <w:tabs>
          <w:tab w:val="left" w:pos="837"/>
        </w:tabs>
        <w:ind w:left="837" w:hanging="360"/>
      </w:pPr>
      <w:rPr>
        <w:rFonts w:hint="eastAsia"/>
        <w:b w:val="0"/>
      </w:rPr>
    </w:lvl>
    <w:lvl w:ilvl="2" w:tentative="0">
      <w:start w:val="1"/>
      <w:numFmt w:val="bullet"/>
      <w:lvlText w:val=""/>
      <w:lvlJc w:val="left"/>
      <w:pPr>
        <w:tabs>
          <w:tab w:val="left" w:pos="1317"/>
        </w:tabs>
        <w:ind w:left="1317" w:hanging="420"/>
      </w:pPr>
      <w:rPr>
        <w:rFonts w:hint="default" w:ascii="Wingdings" w:hAnsi="Wingdings"/>
      </w:rPr>
    </w:lvl>
    <w:lvl w:ilvl="3" w:tentative="0">
      <w:start w:val="1"/>
      <w:numFmt w:val="decimal"/>
      <w:lvlText w:val="%4."/>
      <w:lvlJc w:val="left"/>
      <w:pPr>
        <w:tabs>
          <w:tab w:val="left" w:pos="1737"/>
        </w:tabs>
        <w:ind w:left="1737" w:hanging="420"/>
      </w:pPr>
    </w:lvl>
    <w:lvl w:ilvl="4" w:tentative="0">
      <w:start w:val="1"/>
      <w:numFmt w:val="lowerLetter"/>
      <w:lvlText w:val="%5)"/>
      <w:lvlJc w:val="left"/>
      <w:pPr>
        <w:tabs>
          <w:tab w:val="left" w:pos="2157"/>
        </w:tabs>
        <w:ind w:left="2157" w:hanging="420"/>
      </w:pPr>
    </w:lvl>
    <w:lvl w:ilvl="5" w:tentative="0">
      <w:start w:val="1"/>
      <w:numFmt w:val="lowerRoman"/>
      <w:lvlText w:val="%6."/>
      <w:lvlJc w:val="right"/>
      <w:pPr>
        <w:tabs>
          <w:tab w:val="left" w:pos="2577"/>
        </w:tabs>
        <w:ind w:left="2577" w:hanging="420"/>
      </w:pPr>
    </w:lvl>
    <w:lvl w:ilvl="6" w:tentative="0">
      <w:start w:val="1"/>
      <w:numFmt w:val="decimal"/>
      <w:lvlText w:val="%7."/>
      <w:lvlJc w:val="left"/>
      <w:pPr>
        <w:tabs>
          <w:tab w:val="left" w:pos="2997"/>
        </w:tabs>
        <w:ind w:left="2997" w:hanging="420"/>
      </w:pPr>
    </w:lvl>
    <w:lvl w:ilvl="7" w:tentative="0">
      <w:start w:val="1"/>
      <w:numFmt w:val="lowerLetter"/>
      <w:lvlText w:val="%8)"/>
      <w:lvlJc w:val="left"/>
      <w:pPr>
        <w:tabs>
          <w:tab w:val="left" w:pos="3417"/>
        </w:tabs>
        <w:ind w:left="3417" w:hanging="420"/>
      </w:pPr>
    </w:lvl>
    <w:lvl w:ilvl="8" w:tentative="0">
      <w:start w:val="1"/>
      <w:numFmt w:val="lowerRoman"/>
      <w:lvlText w:val="%9."/>
      <w:lvlJc w:val="right"/>
      <w:pPr>
        <w:tabs>
          <w:tab w:val="left" w:pos="3837"/>
        </w:tabs>
        <w:ind w:left="3837" w:hanging="420"/>
      </w:pPr>
    </w:lvl>
  </w:abstractNum>
  <w:abstractNum w:abstractNumId="4">
    <w:nsid w:val="379D3F1A"/>
    <w:multiLevelType w:val="multilevel"/>
    <w:tmpl w:val="379D3F1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trackRevisions w:val="1"/>
  <w:documentProtection w:formatting="1"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49"/>
    <w:rsid w:val="00316DEB"/>
    <w:rsid w:val="003776F6"/>
    <w:rsid w:val="003A7539"/>
    <w:rsid w:val="00415C38"/>
    <w:rsid w:val="005358BC"/>
    <w:rsid w:val="00CD1649"/>
    <w:rsid w:val="00CD2F62"/>
    <w:rsid w:val="00D46676"/>
    <w:rsid w:val="00FA309B"/>
    <w:rsid w:val="00FC40F0"/>
    <w:rsid w:val="0D4054F2"/>
    <w:rsid w:val="13421794"/>
    <w:rsid w:val="153555ED"/>
    <w:rsid w:val="15593193"/>
    <w:rsid w:val="15890229"/>
    <w:rsid w:val="192D222D"/>
    <w:rsid w:val="1D3209DB"/>
    <w:rsid w:val="22596EC8"/>
    <w:rsid w:val="23621DAC"/>
    <w:rsid w:val="2F4D56BE"/>
    <w:rsid w:val="2F5048EC"/>
    <w:rsid w:val="30EE1123"/>
    <w:rsid w:val="312216EB"/>
    <w:rsid w:val="38051514"/>
    <w:rsid w:val="3F587319"/>
    <w:rsid w:val="46D00C57"/>
    <w:rsid w:val="46FA115F"/>
    <w:rsid w:val="4B885FA4"/>
    <w:rsid w:val="50D14257"/>
    <w:rsid w:val="53734BB8"/>
    <w:rsid w:val="542919A7"/>
    <w:rsid w:val="5A4C63EF"/>
    <w:rsid w:val="6D056FFD"/>
    <w:rsid w:val="73452D94"/>
    <w:rsid w:val="7416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60" w:lineRule="auto"/>
      <w:ind w:left="57"/>
    </w:pPr>
    <w:rPr>
      <w:rFonts w:ascii="Arial" w:hAnsi="Arial" w:eastAsia="微软雅黑" w:cs="Arial"/>
      <w:bCs/>
      <w:iCs/>
      <w:sz w:val="18"/>
      <w:szCs w:val="28"/>
      <w:lang w:val="en-US" w:eastAsia="zh-CN" w:bidi="ar-SA"/>
    </w:rPr>
  </w:style>
  <w:style w:type="paragraph" w:styleId="2">
    <w:name w:val="heading 2"/>
    <w:basedOn w:val="3"/>
    <w:next w:val="1"/>
    <w:link w:val="15"/>
    <w:qFormat/>
    <w:uiPriority w:val="0"/>
    <w:pPr>
      <w:keepNext/>
      <w:numPr>
        <w:ilvl w:val="0"/>
        <w:numId w:val="1"/>
      </w:numPr>
      <w:shd w:val="clear" w:color="auto" w:fill="8DB3E2"/>
      <w:tabs>
        <w:tab w:val="center" w:pos="0"/>
      </w:tabs>
      <w:adjustRightInd w:val="0"/>
      <w:snapToGrid w:val="0"/>
      <w:spacing w:before="156" w:beforeLines="50" w:beforeAutospacing="0" w:after="156" w:afterLines="50" w:afterAutospacing="0" w:line="312" w:lineRule="auto"/>
      <w:jc w:val="both"/>
      <w:outlineLvl w:val="1"/>
    </w:pPr>
    <w:rPr>
      <w:rFonts w:ascii="黑体" w:hAnsi="Arial" w:eastAsia="黑体" w:cs="Times New Roman"/>
      <w:kern w:val="2"/>
      <w:sz w:val="21"/>
      <w:szCs w:val="21"/>
      <w:lang w:val="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16"/>
    <w:qFormat/>
    <w:uiPriority w:val="10"/>
    <w:pPr>
      <w:spacing w:before="240" w:after="60"/>
      <w:jc w:val="center"/>
      <w:outlineLvl w:val="0"/>
    </w:pPr>
    <w:rPr>
      <w:rFonts w:asciiTheme="majorHAnsi" w:hAnsiTheme="majorHAnsi" w:eastAsiaTheme="majorEastAsia" w:cstheme="majorBidi"/>
      <w:b/>
      <w:sz w:val="32"/>
      <w:szCs w:val="32"/>
    </w:rPr>
  </w:style>
  <w:style w:type="paragraph" w:styleId="4">
    <w:name w:val="footer"/>
    <w:basedOn w:val="1"/>
    <w:link w:val="12"/>
    <w:unhideWhenUsed/>
    <w:qFormat/>
    <w:uiPriority w:val="99"/>
    <w:pPr>
      <w:tabs>
        <w:tab w:val="center" w:pos="4153"/>
        <w:tab w:val="right" w:pos="8306"/>
      </w:tabs>
      <w:snapToGrid w:val="0"/>
    </w:pPr>
    <w:rPr>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Cs w:val="18"/>
    </w:rPr>
  </w:style>
  <w:style w:type="paragraph" w:styleId="6">
    <w:name w:val="Body Text 2"/>
    <w:basedOn w:val="1"/>
    <w:link w:val="13"/>
    <w:qFormat/>
    <w:uiPriority w:val="0"/>
    <w:pPr>
      <w:widowControl w:val="0"/>
      <w:adjustRightInd w:val="0"/>
      <w:snapToGrid w:val="0"/>
      <w:spacing w:beforeLines="50" w:afterLines="50"/>
      <w:ind w:left="0"/>
      <w:jc w:val="both"/>
    </w:pPr>
    <w:rPr>
      <w:szCs w:val="18"/>
    </w:rPr>
  </w:style>
  <w:style w:type="paragraph" w:styleId="7">
    <w:name w:val="Normal (Web)"/>
    <w:basedOn w:val="1"/>
    <w:unhideWhenUsed/>
    <w:qFormat/>
    <w:uiPriority w:val="99"/>
    <w:pPr>
      <w:spacing w:before="0" w:after="0"/>
      <w:ind w:left="0"/>
    </w:pPr>
    <w:rPr>
      <w:rFonts w:cs="Times New Roman"/>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 w:type="character" w:customStyle="1" w:styleId="13">
    <w:name w:val="正文文本 2 字符"/>
    <w:basedOn w:val="10"/>
    <w:link w:val="6"/>
    <w:qFormat/>
    <w:uiPriority w:val="0"/>
    <w:rPr>
      <w:rFonts w:ascii="Arial" w:hAnsi="Arial" w:eastAsia="微软雅黑" w:cs="Arial"/>
      <w:bCs/>
      <w:iCs/>
      <w:kern w:val="0"/>
      <w:sz w:val="18"/>
      <w:szCs w:val="18"/>
    </w:rPr>
  </w:style>
  <w:style w:type="paragraph" w:customStyle="1" w:styleId="14">
    <w:name w:val="列表段落1"/>
    <w:basedOn w:val="1"/>
    <w:qFormat/>
    <w:uiPriority w:val="34"/>
    <w:pPr>
      <w:ind w:firstLine="420" w:firstLineChars="200"/>
    </w:pPr>
  </w:style>
  <w:style w:type="character" w:customStyle="1" w:styleId="15">
    <w:name w:val="标题 2 字符"/>
    <w:basedOn w:val="10"/>
    <w:link w:val="2"/>
    <w:qFormat/>
    <w:uiPriority w:val="0"/>
    <w:rPr>
      <w:rFonts w:ascii="黑体" w:hAnsi="Arial" w:eastAsia="黑体" w:cs="Times New Roman"/>
      <w:b/>
      <w:bCs/>
      <w:iCs/>
      <w:szCs w:val="21"/>
      <w:shd w:val="clear" w:color="auto" w:fill="8DB3E2"/>
      <w:lang w:val="zh-CN" w:eastAsia="zh-CN"/>
    </w:rPr>
  </w:style>
  <w:style w:type="character" w:customStyle="1" w:styleId="16">
    <w:name w:val="标题 字符"/>
    <w:basedOn w:val="10"/>
    <w:link w:val="3"/>
    <w:qFormat/>
    <w:uiPriority w:val="10"/>
    <w:rPr>
      <w:rFonts w:asciiTheme="majorHAnsi" w:hAnsiTheme="majorHAnsi" w:eastAsiaTheme="majorEastAsia" w:cstheme="majorBidi"/>
      <w:b/>
      <w:bCs/>
      <w:iCs/>
      <w:kern w:val="0"/>
      <w:sz w:val="32"/>
      <w:szCs w:val="32"/>
    </w:rPr>
  </w:style>
  <w:style w:type="paragraph" w:customStyle="1" w:styleId="17">
    <w:name w:val="列表段落11"/>
    <w:basedOn w:val="1"/>
    <w:qFormat/>
    <w:uiPriority w:val="34"/>
    <w:pPr>
      <w:ind w:firstLine="420" w:firstLineChars="200"/>
    </w:pPr>
  </w:style>
  <w:style w:type="character" w:customStyle="1" w:styleId="18">
    <w:name w:val="font21"/>
    <w:basedOn w:val="10"/>
    <w:qFormat/>
    <w:uiPriority w:val="0"/>
    <w:rPr>
      <w:rFonts w:hint="default" w:ascii="微软雅黑" w:hAnsi="微软雅黑" w:eastAsia="微软雅黑" w:cs="微软雅黑"/>
      <w:color w:val="000000"/>
      <w:sz w:val="20"/>
      <w:szCs w:val="20"/>
      <w:u w:val="none"/>
    </w:rPr>
  </w:style>
  <w:style w:type="paragraph" w:customStyle="1" w:styleId="19">
    <w:name w:val="修订1"/>
    <w:hidden/>
    <w:unhideWhenUsed/>
    <w:qFormat/>
    <w:uiPriority w:val="99"/>
    <w:rPr>
      <w:rFonts w:ascii="Arial" w:hAnsi="Arial" w:eastAsia="微软雅黑" w:cs="Arial"/>
      <w:bCs/>
      <w:iCs/>
      <w:sz w:val="18"/>
      <w:szCs w:val="28"/>
      <w:lang w:val="en-US" w:eastAsia="zh-CN" w:bidi="ar-SA"/>
    </w:rPr>
  </w:style>
  <w:style w:type="paragraph" w:customStyle="1" w:styleId="20">
    <w:name w:val="Revision"/>
    <w:hidden/>
    <w:unhideWhenUsed/>
    <w:qFormat/>
    <w:uiPriority w:val="99"/>
    <w:rPr>
      <w:rFonts w:ascii="Arial" w:hAnsi="Arial" w:eastAsia="微软雅黑" w:cs="Arial"/>
      <w:bCs/>
      <w:iCs/>
      <w:sz w:val="18"/>
      <w:szCs w:val="28"/>
      <w:lang w:val="en-US" w:eastAsia="zh-CN" w:bidi="ar-SA"/>
    </w:rPr>
  </w:style>
  <w:style w:type="paragraph" w:customStyle="1" w:styleId="21">
    <w:name w:val="彩色列表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5869</Words>
  <Characters>6007</Characters>
  <Lines>41</Lines>
  <Paragraphs>11</Paragraphs>
  <TotalTime>6</TotalTime>
  <ScaleCrop>false</ScaleCrop>
  <LinksUpToDate>false</LinksUpToDate>
  <CharactersWithSpaces>6188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2025-07-22T05:45:00Z</dcterms:created>
  <dc:creator>Fay</dc:creator>
  <cp:lastModifiedBy>云瑞酒店&amp;云瑞物业·奎艳美</cp:lastModifiedBy>
  <dcterms:modified xsi:type="dcterms:W3CDTF">2025-07-29T08:38:11Z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037EC5ABE7A742938CEBD69D8202CD07_13</vt:lpwstr>
  </property>
  <property fmtid="{D5CDD505-2E9C-101B-9397-08002B2CF9AE}" pid="4" name="KSOTemplateDocerSaveRecord">
    <vt:lpwstr>eyJoZGlkIjoiYzYxZmE4YTc4NmY2ZDRlN2FjMTZmMmY5OGY4MzRhODciLCJ1c2VySWQiOiI0MzMwNzU2NjUifQ==</vt:lpwstr>
  </property>
</Properties>
</file>