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FFA6F">
      <w:pPr>
        <w:spacing w:line="281" w:lineRule="auto"/>
        <w:rPr>
          <w:rFonts w:ascii="Arial"/>
          <w:sz w:val="21"/>
        </w:rPr>
      </w:pPr>
    </w:p>
    <w:p w14:paraId="01835D77">
      <w:pPr>
        <w:spacing w:line="281" w:lineRule="auto"/>
        <w:rPr>
          <w:rFonts w:ascii="Arial"/>
          <w:sz w:val="21"/>
        </w:rPr>
      </w:pPr>
    </w:p>
    <w:p w14:paraId="6653E0DC">
      <w:pPr>
        <w:pStyle w:val="3"/>
        <w:spacing w:before="84" w:line="221" w:lineRule="auto"/>
        <w:ind w:left="59"/>
        <w:jc w:val="center"/>
        <w:rPr>
          <w:b/>
          <w:bCs/>
          <w:spacing w:val="31"/>
          <w:sz w:val="40"/>
          <w:szCs w:val="40"/>
        </w:rPr>
      </w:pPr>
      <w:r>
        <w:rPr>
          <w:rFonts w:hint="eastAsia"/>
          <w:b/>
          <w:bCs/>
          <w:spacing w:val="31"/>
          <w:sz w:val="40"/>
          <w:szCs w:val="40"/>
          <w:lang w:val="en-US" w:eastAsia="zh-CN"/>
        </w:rPr>
        <w:t>维修</w:t>
      </w:r>
      <w:r>
        <w:rPr>
          <w:b/>
          <w:bCs/>
          <w:spacing w:val="31"/>
          <w:sz w:val="40"/>
          <w:szCs w:val="40"/>
        </w:rPr>
        <w:t>合同</w:t>
      </w:r>
    </w:p>
    <w:p w14:paraId="51525247">
      <w:pPr>
        <w:spacing w:line="282" w:lineRule="auto"/>
        <w:rPr>
          <w:rFonts w:ascii="Arial"/>
          <w:sz w:val="21"/>
        </w:rPr>
      </w:pPr>
    </w:p>
    <w:p w14:paraId="056C0310">
      <w:pPr>
        <w:spacing w:line="282" w:lineRule="auto"/>
        <w:rPr>
          <w:rFonts w:ascii="Arial"/>
          <w:sz w:val="21"/>
        </w:rPr>
      </w:pPr>
    </w:p>
    <w:p w14:paraId="69A4814F">
      <w:pPr>
        <w:pStyle w:val="3"/>
        <w:spacing w:before="84" w:line="224" w:lineRule="auto"/>
        <w:ind w:left="3999"/>
        <w:rPr>
          <w:rFonts w:hint="eastAsia" w:ascii="仿宋" w:hAnsi="仿宋" w:eastAsia="仿宋" w:cs="仿宋"/>
          <w:sz w:val="24"/>
          <w:szCs w:val="24"/>
        </w:rPr>
      </w:pPr>
      <w:r>
        <w:rPr>
          <w:rFonts w:hint="eastAsia" w:ascii="仿宋" w:hAnsi="仿宋" w:eastAsia="仿宋" w:cs="仿宋"/>
          <w:spacing w:val="34"/>
        </w:rPr>
        <w:t>合同编号：</w:t>
      </w:r>
    </w:p>
    <w:p w14:paraId="0F36A993">
      <w:pPr>
        <w:spacing w:line="326" w:lineRule="auto"/>
        <w:rPr>
          <w:rFonts w:hint="eastAsia" w:ascii="仿宋" w:hAnsi="仿宋" w:eastAsia="仿宋" w:cs="仿宋"/>
          <w:sz w:val="21"/>
        </w:rPr>
      </w:pPr>
    </w:p>
    <w:p w14:paraId="0CA25140">
      <w:pPr>
        <w:spacing w:line="326" w:lineRule="auto"/>
        <w:rPr>
          <w:rFonts w:hint="eastAsia" w:ascii="仿宋" w:hAnsi="仿宋" w:eastAsia="仿宋" w:cs="仿宋"/>
          <w:sz w:val="21"/>
        </w:rPr>
      </w:pPr>
    </w:p>
    <w:p w14:paraId="777B1351">
      <w:pPr>
        <w:pStyle w:val="3"/>
        <w:spacing w:before="84" w:line="221" w:lineRule="auto"/>
        <w:ind w:left="59"/>
        <w:rPr>
          <w:rFonts w:hint="eastAsia" w:ascii="仿宋" w:hAnsi="仿宋" w:eastAsia="仿宋" w:cs="仿宋"/>
          <w:b/>
          <w:bCs/>
        </w:rPr>
      </w:pPr>
      <w:r>
        <w:rPr>
          <w:rFonts w:hint="eastAsia" w:ascii="仿宋" w:hAnsi="仿宋" w:eastAsia="仿宋" w:cs="仿宋"/>
          <w:b/>
          <w:bCs/>
          <w:spacing w:val="31"/>
        </w:rPr>
        <w:t>甲方：中郦智慧物业服务(云南)有限公司</w:t>
      </w:r>
    </w:p>
    <w:p w14:paraId="41F0DBA2">
      <w:pPr>
        <w:pStyle w:val="3"/>
        <w:spacing w:before="319" w:line="221" w:lineRule="auto"/>
        <w:ind w:left="19"/>
        <w:rPr>
          <w:rFonts w:hint="eastAsia" w:ascii="仿宋" w:hAnsi="仿宋" w:eastAsia="仿宋" w:cs="仿宋"/>
        </w:rPr>
      </w:pPr>
      <w:r>
        <w:rPr>
          <w:rFonts w:hint="eastAsia" w:ascii="仿宋" w:hAnsi="仿宋" w:eastAsia="仿宋" w:cs="仿宋"/>
          <w:spacing w:val="34"/>
        </w:rPr>
        <w:t>住所/联系地址：中国(云南)自由贸易试验区昆明片区</w:t>
      </w:r>
      <w:r>
        <w:rPr>
          <w:rFonts w:hint="eastAsia" w:ascii="仿宋" w:hAnsi="仿宋" w:eastAsia="仿宋" w:cs="仿宋"/>
          <w:spacing w:val="33"/>
        </w:rPr>
        <w:t>经开区阿拉街道办</w:t>
      </w:r>
    </w:p>
    <w:p w14:paraId="2FFA0BE6">
      <w:pPr>
        <w:spacing w:before="5"/>
        <w:rPr>
          <w:rFonts w:hint="eastAsia" w:ascii="仿宋" w:hAnsi="仿宋" w:eastAsia="仿宋" w:cs="仿宋"/>
        </w:rPr>
      </w:pPr>
    </w:p>
    <w:p w14:paraId="6DA8384E">
      <w:pPr>
        <w:rPr>
          <w:rFonts w:hint="eastAsia" w:ascii="仿宋" w:hAnsi="仿宋" w:eastAsia="仿宋" w:cs="仿宋"/>
        </w:rPr>
        <w:sectPr>
          <w:headerReference r:id="rId5" w:type="default"/>
          <w:footerReference r:id="rId6" w:type="default"/>
          <w:pgSz w:w="11900" w:h="16820"/>
          <w:pgMar w:top="1080" w:right="1150" w:bottom="1379" w:left="1380" w:header="1059" w:footer="1070" w:gutter="0"/>
          <w:pgNumType w:fmt="decimal"/>
          <w:cols w:equalWidth="0" w:num="1">
            <w:col w:w="9370"/>
          </w:cols>
        </w:sectPr>
      </w:pPr>
    </w:p>
    <w:p w14:paraId="47F1A343">
      <w:pPr>
        <w:pStyle w:val="3"/>
        <w:spacing w:before="52" w:line="222" w:lineRule="auto"/>
        <w:ind w:left="39"/>
        <w:rPr>
          <w:rFonts w:hint="eastAsia" w:ascii="仿宋" w:hAnsi="仿宋" w:eastAsia="仿宋" w:cs="仿宋"/>
        </w:rPr>
      </w:pPr>
      <w:r>
        <w:rPr>
          <w:rFonts w:hint="eastAsia" w:ascii="仿宋" w:hAnsi="仿宋" w:eastAsia="仿宋" w:cs="仿宋"/>
          <w:spacing w:val="17"/>
        </w:rPr>
        <w:t>昌宏社区园丁新村B2幢301</w:t>
      </w:r>
    </w:p>
    <w:p w14:paraId="58D6E0ED">
      <w:pPr>
        <w:pStyle w:val="3"/>
        <w:spacing w:before="288" w:line="222" w:lineRule="auto"/>
        <w:ind w:left="19"/>
        <w:rPr>
          <w:rFonts w:hint="eastAsia" w:ascii="仿宋" w:hAnsi="仿宋" w:eastAsia="仿宋" w:cs="仿宋"/>
          <w:spacing w:val="-4"/>
        </w:rPr>
      </w:pPr>
      <w:r>
        <w:rPr>
          <w:rFonts w:hint="eastAsia" w:ascii="仿宋" w:hAnsi="仿宋" w:eastAsia="仿宋" w:cs="仿宋"/>
          <w:spacing w:val="-4"/>
        </w:rPr>
        <w:t>统一社会信用代码：91530100MA6NCN4D9K</w:t>
      </w:r>
    </w:p>
    <w:p w14:paraId="3B557B0D">
      <w:pPr>
        <w:pStyle w:val="3"/>
        <w:spacing w:before="319" w:line="222" w:lineRule="auto"/>
        <w:ind w:left="19"/>
        <w:rPr>
          <w:rFonts w:hint="eastAsia" w:ascii="仿宋" w:hAnsi="仿宋" w:eastAsia="仿宋" w:cs="仿宋"/>
        </w:rPr>
      </w:pPr>
      <w:r>
        <w:rPr>
          <w:rFonts w:hint="eastAsia" w:ascii="仿宋" w:hAnsi="仿宋" w:eastAsia="仿宋" w:cs="仿宋"/>
          <w:spacing w:val="15"/>
        </w:rPr>
        <w:t>法定代表人：梁谨西</w:t>
      </w:r>
    </w:p>
    <w:p w14:paraId="09FC9199">
      <w:pPr>
        <w:pStyle w:val="3"/>
        <w:spacing w:before="155"/>
        <w:rPr>
          <w:rFonts w:hint="eastAsia" w:ascii="仿宋" w:hAnsi="仿宋" w:eastAsia="仿宋" w:cs="仿宋"/>
        </w:rPr>
      </w:pPr>
      <w:r>
        <w:rPr>
          <w:rFonts w:hint="eastAsia" w:ascii="仿宋" w:hAnsi="仿宋" w:eastAsia="仿宋" w:cs="仿宋"/>
        </w:rPr>
        <w:t>联系人：</w:t>
      </w:r>
      <w:r>
        <w:rPr>
          <w:rFonts w:hint="eastAsia" w:ascii="仿宋" w:hAnsi="仿宋" w:eastAsia="仿宋" w:cs="仿宋"/>
          <w:spacing w:val="-51"/>
        </w:rPr>
        <w:t xml:space="preserve"> </w:t>
      </w:r>
    </w:p>
    <w:p w14:paraId="764BA663">
      <w:pPr>
        <w:pStyle w:val="3"/>
        <w:spacing w:before="235" w:line="221" w:lineRule="auto"/>
        <w:ind w:left="19"/>
        <w:rPr>
          <w:rFonts w:hint="eastAsia" w:ascii="仿宋" w:hAnsi="仿宋" w:eastAsia="仿宋" w:cs="仿宋"/>
        </w:rPr>
      </w:pPr>
      <w:r>
        <w:rPr>
          <w:rFonts w:hint="eastAsia" w:ascii="仿宋" w:hAnsi="仿宋" w:eastAsia="仿宋" w:cs="仿宋"/>
          <w:spacing w:val="10"/>
        </w:rPr>
        <w:t>电话：0871-65658978</w:t>
      </w:r>
      <w:r>
        <w:rPr>
          <w:rFonts w:hint="eastAsia" w:ascii="仿宋" w:hAnsi="仿宋" w:eastAsia="仿宋" w:cs="仿宋"/>
          <w:spacing w:val="10"/>
          <w:lang w:val="en-US" w:eastAsia="zh-CN"/>
        </w:rPr>
        <w:t xml:space="preserve"> </w:t>
      </w:r>
      <w:r>
        <w:rPr>
          <w:rFonts w:hint="eastAsia" w:ascii="仿宋" w:hAnsi="仿宋" w:eastAsia="仿宋" w:cs="仿宋"/>
          <w:spacing w:val="10"/>
        </w:rPr>
        <w:t>传真：0871-6</w:t>
      </w:r>
      <w:r>
        <w:rPr>
          <w:rFonts w:hint="eastAsia" w:ascii="仿宋" w:hAnsi="仿宋" w:eastAsia="仿宋" w:cs="仿宋"/>
          <w:spacing w:val="9"/>
        </w:rPr>
        <w:t>5658978</w:t>
      </w:r>
      <w:r>
        <w:rPr>
          <w:rFonts w:hint="eastAsia" w:ascii="仿宋" w:hAnsi="仿宋" w:eastAsia="仿宋" w:cs="仿宋"/>
          <w:spacing w:val="9"/>
          <w:lang w:val="en-US" w:eastAsia="zh-CN"/>
        </w:rPr>
        <w:t xml:space="preserve"> </w:t>
      </w:r>
      <w:r>
        <w:rPr>
          <w:rFonts w:hint="eastAsia" w:ascii="仿宋" w:hAnsi="仿宋" w:eastAsia="仿宋" w:cs="仿宋"/>
          <w:spacing w:val="9"/>
        </w:rPr>
        <w:t>电子邮箱：</w:t>
      </w:r>
    </w:p>
    <w:p w14:paraId="5A6C1931">
      <w:pPr>
        <w:spacing w:line="14" w:lineRule="auto"/>
        <w:rPr>
          <w:rFonts w:hint="eastAsia" w:ascii="仿宋" w:hAnsi="仿宋" w:eastAsia="仿宋" w:cs="仿宋"/>
          <w:sz w:val="2"/>
        </w:rPr>
      </w:pPr>
      <w:r>
        <w:rPr>
          <w:rFonts w:hint="eastAsia" w:ascii="仿宋" w:hAnsi="仿宋" w:eastAsia="仿宋" w:cs="仿宋"/>
          <w:sz w:val="2"/>
          <w:szCs w:val="2"/>
        </w:rPr>
        <w:br w:type="column"/>
      </w:r>
    </w:p>
    <w:p w14:paraId="355F7740">
      <w:pPr>
        <w:spacing w:line="258" w:lineRule="auto"/>
        <w:rPr>
          <w:rFonts w:hint="eastAsia" w:ascii="仿宋" w:hAnsi="仿宋" w:eastAsia="仿宋" w:cs="仿宋"/>
          <w:sz w:val="21"/>
        </w:rPr>
      </w:pPr>
    </w:p>
    <w:p w14:paraId="37352A19">
      <w:pPr>
        <w:spacing w:line="258" w:lineRule="auto"/>
        <w:rPr>
          <w:rFonts w:hint="eastAsia" w:ascii="仿宋" w:hAnsi="仿宋" w:eastAsia="仿宋" w:cs="仿宋"/>
          <w:sz w:val="21"/>
        </w:rPr>
      </w:pPr>
    </w:p>
    <w:p w14:paraId="09E200F1">
      <w:pPr>
        <w:spacing w:line="258" w:lineRule="auto"/>
        <w:rPr>
          <w:rFonts w:hint="eastAsia" w:ascii="仿宋" w:hAnsi="仿宋" w:eastAsia="仿宋" w:cs="仿宋"/>
          <w:sz w:val="21"/>
        </w:rPr>
      </w:pPr>
    </w:p>
    <w:p w14:paraId="1A565868">
      <w:pPr>
        <w:spacing w:line="258" w:lineRule="auto"/>
        <w:rPr>
          <w:rFonts w:hint="eastAsia" w:ascii="仿宋" w:hAnsi="仿宋" w:eastAsia="仿宋" w:cs="仿宋"/>
          <w:sz w:val="21"/>
        </w:rPr>
      </w:pPr>
    </w:p>
    <w:p w14:paraId="1B8E4B9D">
      <w:pPr>
        <w:spacing w:line="258" w:lineRule="auto"/>
        <w:rPr>
          <w:rFonts w:hint="eastAsia" w:ascii="仿宋" w:hAnsi="仿宋" w:eastAsia="仿宋" w:cs="仿宋"/>
          <w:sz w:val="21"/>
        </w:rPr>
      </w:pPr>
    </w:p>
    <w:p w14:paraId="21C279BD">
      <w:pPr>
        <w:spacing w:line="258" w:lineRule="auto"/>
        <w:rPr>
          <w:rFonts w:hint="eastAsia" w:ascii="仿宋" w:hAnsi="仿宋" w:eastAsia="仿宋" w:cs="仿宋"/>
          <w:sz w:val="21"/>
        </w:rPr>
      </w:pPr>
    </w:p>
    <w:p w14:paraId="5213A755">
      <w:pPr>
        <w:spacing w:line="258" w:lineRule="auto"/>
        <w:rPr>
          <w:rFonts w:hint="eastAsia" w:ascii="仿宋" w:hAnsi="仿宋" w:eastAsia="仿宋" w:cs="仿宋"/>
          <w:sz w:val="21"/>
        </w:rPr>
      </w:pPr>
    </w:p>
    <w:p w14:paraId="6A3D4331">
      <w:pPr>
        <w:spacing w:line="258" w:lineRule="auto"/>
        <w:rPr>
          <w:rFonts w:hint="eastAsia" w:ascii="仿宋" w:hAnsi="仿宋" w:eastAsia="仿宋" w:cs="仿宋"/>
          <w:sz w:val="21"/>
        </w:rPr>
      </w:pPr>
    </w:p>
    <w:p w14:paraId="25765972">
      <w:pPr>
        <w:spacing w:before="84" w:line="181" w:lineRule="auto"/>
        <w:rPr>
          <w:rFonts w:hint="eastAsia" w:ascii="仿宋" w:hAnsi="仿宋" w:eastAsia="仿宋" w:cs="仿宋"/>
          <w:spacing w:val="-1"/>
          <w:sz w:val="26"/>
          <w:szCs w:val="26"/>
        </w:rPr>
      </w:pPr>
    </w:p>
    <w:p w14:paraId="27EC1B14">
      <w:pPr>
        <w:spacing w:before="84" w:line="181" w:lineRule="auto"/>
        <w:rPr>
          <w:rFonts w:hint="eastAsia" w:ascii="仿宋" w:hAnsi="仿宋" w:eastAsia="仿宋" w:cs="仿宋"/>
          <w:sz w:val="26"/>
          <w:szCs w:val="26"/>
          <w:lang w:val="en-US" w:eastAsia="zh-CN"/>
        </w:rPr>
      </w:pPr>
    </w:p>
    <w:p w14:paraId="2ED297D6">
      <w:pPr>
        <w:spacing w:line="181" w:lineRule="auto"/>
        <w:rPr>
          <w:rFonts w:hint="eastAsia" w:ascii="仿宋" w:hAnsi="仿宋" w:eastAsia="仿宋" w:cs="仿宋"/>
          <w:sz w:val="26"/>
          <w:szCs w:val="26"/>
        </w:rPr>
        <w:sectPr>
          <w:type w:val="continuous"/>
          <w:pgSz w:w="11900" w:h="16820"/>
          <w:pgMar w:top="1080" w:right="1150" w:bottom="1379" w:left="1380" w:header="1059" w:footer="1070" w:gutter="0"/>
          <w:pgNumType w:fmt="decimal"/>
          <w:cols w:equalWidth="0" w:num="2">
            <w:col w:w="7195" w:space="100"/>
            <w:col w:w="2076"/>
          </w:cols>
        </w:sectPr>
      </w:pPr>
    </w:p>
    <w:p w14:paraId="08175A0A">
      <w:pPr>
        <w:spacing w:line="242" w:lineRule="auto"/>
        <w:rPr>
          <w:rFonts w:hint="eastAsia" w:ascii="仿宋" w:hAnsi="仿宋" w:eastAsia="仿宋" w:cs="仿宋"/>
          <w:sz w:val="21"/>
        </w:rPr>
      </w:pPr>
    </w:p>
    <w:p w14:paraId="081A0246">
      <w:pPr>
        <w:spacing w:line="242" w:lineRule="auto"/>
        <w:rPr>
          <w:rFonts w:hint="eastAsia" w:ascii="仿宋" w:hAnsi="仿宋" w:eastAsia="仿宋" w:cs="仿宋"/>
          <w:sz w:val="21"/>
        </w:rPr>
      </w:pPr>
    </w:p>
    <w:p w14:paraId="0525805F">
      <w:pPr>
        <w:spacing w:line="242" w:lineRule="auto"/>
        <w:rPr>
          <w:rFonts w:hint="eastAsia" w:ascii="仿宋" w:hAnsi="仿宋" w:eastAsia="仿宋" w:cs="仿宋"/>
          <w:sz w:val="21"/>
        </w:rPr>
      </w:pPr>
    </w:p>
    <w:p w14:paraId="7CFD1AB2">
      <w:pPr>
        <w:pStyle w:val="3"/>
        <w:spacing w:before="86" w:line="222" w:lineRule="auto"/>
        <w:ind w:left="19"/>
        <w:rPr>
          <w:rFonts w:hint="eastAsia" w:ascii="仿宋" w:hAnsi="仿宋" w:eastAsia="仿宋" w:cs="仿宋"/>
          <w:b/>
          <w:bCs/>
        </w:rPr>
      </w:pPr>
      <w:r>
        <w:rPr>
          <w:rFonts w:hint="eastAsia" w:ascii="仿宋" w:hAnsi="仿宋" w:eastAsia="仿宋" w:cs="仿宋"/>
          <w:b/>
          <w:bCs/>
          <w:spacing w:val="33"/>
        </w:rPr>
        <w:t>乙方：成都巨蓉之星物业服务有限公司</w:t>
      </w:r>
    </w:p>
    <w:p w14:paraId="44CA84DB">
      <w:pPr>
        <w:pStyle w:val="3"/>
        <w:spacing w:before="305" w:line="421" w:lineRule="auto"/>
        <w:ind w:left="18" w:right="68" w:hanging="19"/>
        <w:rPr>
          <w:rFonts w:hint="eastAsia" w:ascii="仿宋" w:hAnsi="仿宋" w:eastAsia="仿宋" w:cs="仿宋"/>
        </w:rPr>
      </w:pPr>
      <w:r>
        <w:rPr>
          <w:rFonts w:hint="eastAsia" w:ascii="仿宋" w:hAnsi="仿宋" w:eastAsia="仿宋" w:cs="仿宋"/>
          <w:spacing w:val="28"/>
        </w:rPr>
        <w:t>住所/联系地址：中国(四川)自由贸易试验区成都高新区交子北一路88号1栋2单元14层1413号</w:t>
      </w:r>
    </w:p>
    <w:p w14:paraId="7640C7F6">
      <w:pPr>
        <w:pStyle w:val="3"/>
        <w:spacing w:before="24" w:line="222" w:lineRule="auto"/>
        <w:ind w:left="9"/>
        <w:rPr>
          <w:rFonts w:hint="eastAsia" w:ascii="仿宋" w:hAnsi="仿宋" w:eastAsia="仿宋" w:cs="仿宋"/>
        </w:rPr>
      </w:pPr>
      <w:r>
        <w:rPr>
          <w:rFonts w:hint="eastAsia" w:ascii="仿宋" w:hAnsi="仿宋" w:eastAsia="仿宋" w:cs="仿宋"/>
          <w:spacing w:val="9"/>
        </w:rPr>
        <w:t>统一社会信用代码：91510100MAEQ665T4K</w:t>
      </w:r>
    </w:p>
    <w:p w14:paraId="549463C7">
      <w:pPr>
        <w:pStyle w:val="3"/>
        <w:spacing w:before="190" w:line="368" w:lineRule="auto"/>
        <w:ind w:left="19" w:right="6863"/>
        <w:rPr>
          <w:rFonts w:hint="eastAsia" w:ascii="仿宋" w:hAnsi="仿宋" w:eastAsia="仿宋" w:cs="仿宋"/>
        </w:rPr>
      </w:pPr>
      <w:r>
        <w:rPr>
          <w:rFonts w:hint="eastAsia" w:ascii="仿宋" w:hAnsi="仿宋" w:eastAsia="仿宋" w:cs="仿宋"/>
          <w:spacing w:val="16"/>
        </w:rPr>
        <w:t>法定代表人：</w:t>
      </w:r>
      <w:r>
        <w:rPr>
          <w:rFonts w:hint="eastAsia" w:ascii="仿宋" w:hAnsi="仿宋" w:eastAsia="仿宋" w:cs="仿宋"/>
          <w:spacing w:val="16"/>
          <w:lang w:val="en-US" w:eastAsia="zh-CN"/>
        </w:rPr>
        <w:t>袁彩文</w:t>
      </w:r>
      <w:r>
        <w:rPr>
          <w:rFonts w:hint="eastAsia" w:ascii="仿宋" w:hAnsi="仿宋" w:eastAsia="仿宋" w:cs="仿宋"/>
          <w:spacing w:val="1"/>
        </w:rPr>
        <w:t xml:space="preserve"> </w:t>
      </w:r>
      <w:r>
        <w:rPr>
          <w:rFonts w:hint="eastAsia" w:ascii="仿宋" w:hAnsi="仿宋" w:eastAsia="仿宋" w:cs="仿宋"/>
          <w:spacing w:val="-2"/>
        </w:rPr>
        <w:t>联系人：</w:t>
      </w:r>
    </w:p>
    <w:p w14:paraId="18F13FDE">
      <w:pPr>
        <w:pStyle w:val="3"/>
        <w:spacing w:before="2" w:line="220" w:lineRule="auto"/>
        <w:ind w:left="19"/>
        <w:rPr>
          <w:rFonts w:hint="eastAsia" w:ascii="仿宋" w:hAnsi="仿宋" w:eastAsia="仿宋" w:cs="仿宋"/>
        </w:rPr>
      </w:pPr>
      <w:r>
        <w:rPr>
          <w:rFonts w:hint="eastAsia" w:ascii="仿宋" w:hAnsi="仿宋" w:eastAsia="仿宋" w:cs="仿宋"/>
        </w:rPr>
        <w:t>电话：             传真：</w:t>
      </w:r>
      <w:r>
        <w:rPr>
          <w:rFonts w:hint="eastAsia" w:ascii="仿宋" w:hAnsi="仿宋" w:eastAsia="仿宋" w:cs="仿宋"/>
          <w:spacing w:val="5"/>
        </w:rPr>
        <w:t xml:space="preserve">            </w:t>
      </w:r>
      <w:r>
        <w:rPr>
          <w:rFonts w:hint="eastAsia" w:ascii="仿宋" w:hAnsi="仿宋" w:eastAsia="仿宋" w:cs="仿宋"/>
        </w:rPr>
        <w:t>电子邮箱：</w:t>
      </w:r>
    </w:p>
    <w:p w14:paraId="0E8390B4">
      <w:pPr>
        <w:spacing w:line="262" w:lineRule="auto"/>
        <w:rPr>
          <w:rFonts w:ascii="Arial"/>
          <w:sz w:val="21"/>
        </w:rPr>
      </w:pPr>
    </w:p>
    <w:p w14:paraId="5879897B">
      <w:pPr>
        <w:spacing w:line="262" w:lineRule="auto"/>
        <w:rPr>
          <w:rFonts w:ascii="Arial"/>
          <w:sz w:val="21"/>
        </w:rPr>
      </w:pPr>
    </w:p>
    <w:p w14:paraId="50DADB6D">
      <w:pPr>
        <w:spacing w:line="262" w:lineRule="auto"/>
        <w:rPr>
          <w:rFonts w:ascii="Arial"/>
          <w:sz w:val="21"/>
        </w:rPr>
      </w:pPr>
    </w:p>
    <w:p w14:paraId="0ED17C9A">
      <w:pPr>
        <w:pStyle w:val="3"/>
        <w:spacing w:before="85" w:line="227" w:lineRule="auto"/>
        <w:ind w:firstLine="2952" w:firstLineChars="1200"/>
        <w:rPr>
          <w:rFonts w:ascii="宋体" w:hAnsi="宋体" w:eastAsia="宋体" w:cs="宋体"/>
        </w:rPr>
      </w:pPr>
      <w:r>
        <w:rPr>
          <w:spacing w:val="-7"/>
          <w:position w:val="8"/>
        </w:rPr>
        <w:t>签订时间：</w:t>
      </w:r>
      <w:r>
        <w:rPr>
          <w:spacing w:val="83"/>
          <w:position w:val="8"/>
        </w:rPr>
        <w:t xml:space="preserve"> </w:t>
      </w:r>
    </w:p>
    <w:p w14:paraId="1E2C9033">
      <w:pPr>
        <w:pStyle w:val="3"/>
        <w:spacing w:before="81" w:line="189" w:lineRule="auto"/>
        <w:ind w:firstLine="2926" w:firstLineChars="1100"/>
        <w:sectPr>
          <w:type w:val="continuous"/>
          <w:pgSz w:w="11900" w:h="16820"/>
          <w:pgMar w:top="1080" w:right="1150" w:bottom="1379" w:left="1380" w:header="1059" w:footer="1070" w:gutter="0"/>
          <w:pgNumType w:fmt="decimal"/>
          <w:cols w:equalWidth="0" w:num="1">
            <w:col w:w="9370"/>
          </w:cols>
        </w:sectPr>
      </w:pPr>
      <w:r>
        <w:rPr>
          <w:spacing w:val="3"/>
        </w:rPr>
        <w:t>签订地点：</w:t>
      </w:r>
    </w:p>
    <w:p w14:paraId="46C513D4">
      <w:pPr>
        <w:spacing w:line="245" w:lineRule="auto"/>
        <w:rPr>
          <w:rFonts w:ascii="Arial"/>
          <w:sz w:val="21"/>
        </w:rPr>
      </w:pPr>
    </w:p>
    <w:p w14:paraId="1FE9AC44">
      <w:pPr>
        <w:pStyle w:val="3"/>
        <w:spacing w:before="88" w:line="376" w:lineRule="auto"/>
        <w:ind w:left="445" w:right="433" w:firstLine="550"/>
        <w:jc w:val="both"/>
        <w:rPr>
          <w:sz w:val="27"/>
          <w:szCs w:val="27"/>
        </w:rPr>
      </w:pPr>
      <w:r>
        <w:rPr>
          <w:spacing w:val="6"/>
          <w:sz w:val="27"/>
          <w:szCs w:val="27"/>
        </w:rPr>
        <w:t>根据《中华人民共和国民法典》等有关法律法规及规范性文件相关规定，</w:t>
      </w:r>
      <w:r>
        <w:rPr>
          <w:spacing w:val="1"/>
          <w:sz w:val="27"/>
          <w:szCs w:val="27"/>
        </w:rPr>
        <w:t xml:space="preserve"> </w:t>
      </w:r>
      <w:r>
        <w:rPr>
          <w:spacing w:val="12"/>
          <w:sz w:val="27"/>
          <w:szCs w:val="27"/>
        </w:rPr>
        <w:t>遵循平等、自愿、公平和诚实信用的原则，双方就甲方服务的</w:t>
      </w:r>
      <w:r>
        <w:rPr>
          <w:rFonts w:hint="eastAsia"/>
          <w:spacing w:val="12"/>
          <w:sz w:val="27"/>
          <w:szCs w:val="27"/>
        </w:rPr>
        <w:t>云南国土资源职业学院三校区水电维修服务</w:t>
      </w:r>
      <w:r>
        <w:rPr>
          <w:spacing w:val="7"/>
          <w:sz w:val="27"/>
          <w:szCs w:val="27"/>
        </w:rPr>
        <w:t>工作协商一致，共同达成以下协议。</w:t>
      </w:r>
    </w:p>
    <w:p w14:paraId="46229835">
      <w:pPr>
        <w:spacing w:before="10" w:line="219" w:lineRule="auto"/>
        <w:ind w:left="1029"/>
        <w:outlineLvl w:val="2"/>
        <w:rPr>
          <w:rFonts w:ascii="宋体" w:hAnsi="宋体" w:eastAsia="宋体" w:cs="宋体"/>
          <w:sz w:val="24"/>
          <w:szCs w:val="24"/>
        </w:rPr>
      </w:pPr>
      <w:r>
        <w:rPr>
          <w:rFonts w:ascii="宋体" w:hAnsi="宋体" w:eastAsia="宋体" w:cs="宋体"/>
          <w:b/>
          <w:bCs/>
          <w:spacing w:val="-5"/>
          <w:sz w:val="24"/>
          <w:szCs w:val="24"/>
        </w:rPr>
        <w:t>第一条</w:t>
      </w:r>
      <w:r>
        <w:rPr>
          <w:rFonts w:hint="eastAsia" w:ascii="宋体" w:hAnsi="宋体" w:eastAsia="宋体" w:cs="宋体"/>
          <w:b/>
          <w:bCs/>
          <w:spacing w:val="-5"/>
          <w:sz w:val="24"/>
          <w:szCs w:val="24"/>
          <w:lang w:val="en-US" w:eastAsia="zh-CN"/>
        </w:rPr>
        <w:t xml:space="preserve"> </w:t>
      </w:r>
      <w:r>
        <w:rPr>
          <w:rFonts w:ascii="宋体" w:hAnsi="宋体" w:eastAsia="宋体" w:cs="宋体"/>
          <w:b/>
          <w:bCs/>
          <w:spacing w:val="-5"/>
          <w:sz w:val="24"/>
          <w:szCs w:val="24"/>
        </w:rPr>
        <w:t>物业基本情况</w:t>
      </w:r>
    </w:p>
    <w:p w14:paraId="5B57B13B">
      <w:pPr>
        <w:spacing w:line="52" w:lineRule="auto"/>
        <w:rPr>
          <w:rFonts w:ascii="Arial"/>
          <w:sz w:val="2"/>
        </w:rPr>
      </w:pPr>
    </w:p>
    <w:p w14:paraId="3F9B54F9">
      <w:pPr>
        <w:pStyle w:val="3"/>
        <w:numPr>
          <w:ilvl w:val="0"/>
          <w:numId w:val="1"/>
        </w:numPr>
        <w:spacing w:before="240" w:line="222" w:lineRule="auto"/>
        <w:ind w:left="998"/>
        <w:outlineLvl w:val="3"/>
        <w:rPr>
          <w:rFonts w:hint="eastAsia" w:asciiTheme="minorEastAsia" w:hAnsiTheme="minorEastAsia" w:eastAsiaTheme="minorEastAsia" w:cstheme="minorEastAsia"/>
          <w:b w:val="0"/>
          <w:bCs w:val="0"/>
          <w:spacing w:val="16"/>
          <w:sz w:val="24"/>
          <w:szCs w:val="24"/>
        </w:rPr>
      </w:pPr>
      <w:r>
        <w:rPr>
          <w:rFonts w:hint="eastAsia" w:asciiTheme="minorEastAsia" w:hAnsiTheme="minorEastAsia" w:eastAsiaTheme="minorEastAsia" w:cstheme="minorEastAsia"/>
          <w:b w:val="0"/>
          <w:bCs w:val="0"/>
          <w:spacing w:val="16"/>
          <w:sz w:val="24"/>
          <w:szCs w:val="24"/>
        </w:rPr>
        <w:t>阳宗校区：</w:t>
      </w:r>
    </w:p>
    <w:tbl>
      <w:tblPr>
        <w:tblStyle w:val="5"/>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612"/>
        <w:gridCol w:w="2726"/>
        <w:gridCol w:w="1773"/>
        <w:gridCol w:w="1173"/>
        <w:gridCol w:w="1741"/>
      </w:tblGrid>
      <w:tr w14:paraId="531B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39" w:type="dxa"/>
            <w:vAlign w:val="center"/>
          </w:tcPr>
          <w:p w14:paraId="1536C80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12" w:type="dxa"/>
            <w:vAlign w:val="center"/>
          </w:tcPr>
          <w:p w14:paraId="2992EE6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建筑物名称</w:t>
            </w:r>
          </w:p>
        </w:tc>
        <w:tc>
          <w:tcPr>
            <w:tcW w:w="2726" w:type="dxa"/>
            <w:vAlign w:val="center"/>
          </w:tcPr>
          <w:p w14:paraId="75DDB7D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建筑功能</w:t>
            </w:r>
          </w:p>
        </w:tc>
        <w:tc>
          <w:tcPr>
            <w:tcW w:w="1773" w:type="dxa"/>
            <w:vAlign w:val="center"/>
          </w:tcPr>
          <w:p w14:paraId="1E1205C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p>
        </w:tc>
        <w:tc>
          <w:tcPr>
            <w:tcW w:w="1173" w:type="dxa"/>
            <w:vAlign w:val="center"/>
          </w:tcPr>
          <w:p w14:paraId="4C65947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计价时间（月）</w:t>
            </w:r>
          </w:p>
        </w:tc>
        <w:tc>
          <w:tcPr>
            <w:tcW w:w="1741" w:type="dxa"/>
            <w:vAlign w:val="center"/>
          </w:tcPr>
          <w:p w14:paraId="1792C7D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9DA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7308829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12" w:type="dxa"/>
            <w:vAlign w:val="center"/>
          </w:tcPr>
          <w:p w14:paraId="531C2EA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观山楼</w:t>
            </w:r>
          </w:p>
        </w:tc>
        <w:tc>
          <w:tcPr>
            <w:tcW w:w="2726" w:type="dxa"/>
            <w:vAlign w:val="center"/>
          </w:tcPr>
          <w:p w14:paraId="3B1C643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图书馆</w:t>
            </w:r>
          </w:p>
        </w:tc>
        <w:tc>
          <w:tcPr>
            <w:tcW w:w="1773" w:type="dxa"/>
            <w:vAlign w:val="center"/>
          </w:tcPr>
          <w:p w14:paraId="4216F26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21187.2</w:t>
            </w:r>
          </w:p>
        </w:tc>
        <w:tc>
          <w:tcPr>
            <w:tcW w:w="1173" w:type="dxa"/>
            <w:vAlign w:val="center"/>
          </w:tcPr>
          <w:p w14:paraId="57FEE53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restart"/>
            <w:vAlign w:val="center"/>
          </w:tcPr>
          <w:p w14:paraId="1B67914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所有建筑需包含地下室区域，对外经营商业区。</w:t>
            </w:r>
          </w:p>
        </w:tc>
      </w:tr>
      <w:tr w14:paraId="0E9B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0A39042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12" w:type="dxa"/>
            <w:vAlign w:val="center"/>
          </w:tcPr>
          <w:p w14:paraId="138D415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笃行楼</w:t>
            </w:r>
          </w:p>
        </w:tc>
        <w:tc>
          <w:tcPr>
            <w:tcW w:w="2726" w:type="dxa"/>
            <w:vAlign w:val="center"/>
          </w:tcPr>
          <w:p w14:paraId="3F0FB55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公共教学楼</w:t>
            </w:r>
          </w:p>
        </w:tc>
        <w:tc>
          <w:tcPr>
            <w:tcW w:w="1773" w:type="dxa"/>
            <w:vAlign w:val="center"/>
          </w:tcPr>
          <w:p w14:paraId="1B5DF87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19999</w:t>
            </w:r>
          </w:p>
        </w:tc>
        <w:tc>
          <w:tcPr>
            <w:tcW w:w="1173" w:type="dxa"/>
            <w:vAlign w:val="center"/>
          </w:tcPr>
          <w:p w14:paraId="59FC7B4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228AE379">
            <w:pPr>
              <w:jc w:val="center"/>
              <w:rPr>
                <w:rFonts w:hint="eastAsia" w:ascii="宋体" w:hAnsi="宋体" w:eastAsia="宋体" w:cs="宋体"/>
                <w:color w:val="auto"/>
                <w:sz w:val="21"/>
                <w:szCs w:val="21"/>
                <w:highlight w:val="none"/>
              </w:rPr>
            </w:pPr>
          </w:p>
        </w:tc>
      </w:tr>
      <w:tr w14:paraId="3C1B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63F5097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12" w:type="dxa"/>
            <w:vAlign w:val="center"/>
          </w:tcPr>
          <w:p w14:paraId="4E68579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崇实楼</w:t>
            </w:r>
          </w:p>
        </w:tc>
        <w:tc>
          <w:tcPr>
            <w:tcW w:w="2726" w:type="dxa"/>
            <w:vAlign w:val="center"/>
          </w:tcPr>
          <w:p w14:paraId="09B1C7C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公共教学楼</w:t>
            </w:r>
          </w:p>
        </w:tc>
        <w:tc>
          <w:tcPr>
            <w:tcW w:w="1773" w:type="dxa"/>
            <w:vAlign w:val="center"/>
          </w:tcPr>
          <w:p w14:paraId="3665D2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19726.8</w:t>
            </w:r>
          </w:p>
        </w:tc>
        <w:tc>
          <w:tcPr>
            <w:tcW w:w="1173" w:type="dxa"/>
            <w:vAlign w:val="center"/>
          </w:tcPr>
          <w:p w14:paraId="08E8949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3AD10F57">
            <w:pPr>
              <w:jc w:val="center"/>
              <w:rPr>
                <w:rFonts w:hint="eastAsia" w:ascii="宋体" w:hAnsi="宋体" w:eastAsia="宋体" w:cs="宋体"/>
                <w:color w:val="auto"/>
                <w:sz w:val="21"/>
                <w:szCs w:val="21"/>
                <w:highlight w:val="none"/>
              </w:rPr>
            </w:pPr>
          </w:p>
        </w:tc>
      </w:tr>
      <w:tr w14:paraId="645D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39" w:type="dxa"/>
            <w:vAlign w:val="center"/>
          </w:tcPr>
          <w:p w14:paraId="105100E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12" w:type="dxa"/>
            <w:vAlign w:val="center"/>
          </w:tcPr>
          <w:p w14:paraId="63298E4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勘物楼</w:t>
            </w:r>
          </w:p>
        </w:tc>
        <w:tc>
          <w:tcPr>
            <w:tcW w:w="2726" w:type="dxa"/>
            <w:vAlign w:val="center"/>
          </w:tcPr>
          <w:p w14:paraId="1D58338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实验楼、院系办公楼</w:t>
            </w:r>
          </w:p>
        </w:tc>
        <w:tc>
          <w:tcPr>
            <w:tcW w:w="1773" w:type="dxa"/>
            <w:vAlign w:val="center"/>
          </w:tcPr>
          <w:p w14:paraId="212298D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25336.05</w:t>
            </w:r>
          </w:p>
        </w:tc>
        <w:tc>
          <w:tcPr>
            <w:tcW w:w="1173" w:type="dxa"/>
            <w:vAlign w:val="center"/>
          </w:tcPr>
          <w:p w14:paraId="539379E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280EE9D0">
            <w:pPr>
              <w:jc w:val="center"/>
              <w:rPr>
                <w:rFonts w:hint="eastAsia" w:ascii="宋体" w:hAnsi="宋体" w:eastAsia="宋体" w:cs="宋体"/>
                <w:color w:val="auto"/>
                <w:sz w:val="21"/>
                <w:szCs w:val="21"/>
                <w:highlight w:val="none"/>
              </w:rPr>
            </w:pPr>
          </w:p>
        </w:tc>
      </w:tr>
      <w:tr w14:paraId="65EA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9" w:type="dxa"/>
            <w:vAlign w:val="center"/>
          </w:tcPr>
          <w:p w14:paraId="0F65D62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612" w:type="dxa"/>
            <w:vAlign w:val="center"/>
          </w:tcPr>
          <w:p w14:paraId="553AB0C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明尚楼</w:t>
            </w:r>
          </w:p>
        </w:tc>
        <w:tc>
          <w:tcPr>
            <w:tcW w:w="2726" w:type="dxa"/>
            <w:vAlign w:val="center"/>
          </w:tcPr>
          <w:p w14:paraId="0145441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办公、教学、实验楼</w:t>
            </w:r>
          </w:p>
        </w:tc>
        <w:tc>
          <w:tcPr>
            <w:tcW w:w="1773" w:type="dxa"/>
            <w:vAlign w:val="center"/>
          </w:tcPr>
          <w:p w14:paraId="41A5AA1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20671.96</w:t>
            </w:r>
          </w:p>
        </w:tc>
        <w:tc>
          <w:tcPr>
            <w:tcW w:w="1173" w:type="dxa"/>
            <w:vAlign w:val="center"/>
          </w:tcPr>
          <w:p w14:paraId="7298798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6335AA2C">
            <w:pPr>
              <w:jc w:val="center"/>
              <w:rPr>
                <w:rFonts w:hint="eastAsia" w:ascii="宋体" w:hAnsi="宋体" w:eastAsia="宋体" w:cs="宋体"/>
                <w:color w:val="auto"/>
                <w:sz w:val="21"/>
                <w:szCs w:val="21"/>
                <w:highlight w:val="none"/>
              </w:rPr>
            </w:pPr>
          </w:p>
        </w:tc>
      </w:tr>
      <w:tr w14:paraId="2A41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1594AA4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612" w:type="dxa"/>
            <w:vAlign w:val="center"/>
          </w:tcPr>
          <w:p w14:paraId="6565F20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载物楼</w:t>
            </w:r>
          </w:p>
        </w:tc>
        <w:tc>
          <w:tcPr>
            <w:tcW w:w="2726" w:type="dxa"/>
            <w:vAlign w:val="center"/>
          </w:tcPr>
          <w:p w14:paraId="342579D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公共教学楼</w:t>
            </w:r>
          </w:p>
        </w:tc>
        <w:tc>
          <w:tcPr>
            <w:tcW w:w="1773" w:type="dxa"/>
            <w:vAlign w:val="center"/>
          </w:tcPr>
          <w:p w14:paraId="7C5B102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20413</w:t>
            </w:r>
          </w:p>
        </w:tc>
        <w:tc>
          <w:tcPr>
            <w:tcW w:w="1173" w:type="dxa"/>
            <w:vAlign w:val="center"/>
          </w:tcPr>
          <w:p w14:paraId="5FCC77A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6EE727BA">
            <w:pPr>
              <w:jc w:val="center"/>
              <w:rPr>
                <w:rFonts w:hint="eastAsia" w:ascii="宋体" w:hAnsi="宋体" w:eastAsia="宋体" w:cs="宋体"/>
                <w:color w:val="auto"/>
                <w:sz w:val="21"/>
                <w:szCs w:val="21"/>
                <w:highlight w:val="none"/>
              </w:rPr>
            </w:pPr>
          </w:p>
        </w:tc>
      </w:tr>
      <w:tr w14:paraId="4C7C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4624197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612" w:type="dxa"/>
            <w:vAlign w:val="center"/>
          </w:tcPr>
          <w:p w14:paraId="5818026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绘水苑1-8栋</w:t>
            </w:r>
          </w:p>
        </w:tc>
        <w:tc>
          <w:tcPr>
            <w:tcW w:w="2726" w:type="dxa"/>
            <w:vAlign w:val="center"/>
          </w:tcPr>
          <w:p w14:paraId="1B7BAF1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学生公寓</w:t>
            </w:r>
          </w:p>
        </w:tc>
        <w:tc>
          <w:tcPr>
            <w:tcW w:w="1773" w:type="dxa"/>
            <w:vAlign w:val="center"/>
          </w:tcPr>
          <w:p w14:paraId="1D7E55C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64350.17</w:t>
            </w:r>
          </w:p>
        </w:tc>
        <w:tc>
          <w:tcPr>
            <w:tcW w:w="1173" w:type="dxa"/>
            <w:vAlign w:val="center"/>
          </w:tcPr>
          <w:p w14:paraId="28788A9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511652C0">
            <w:pPr>
              <w:jc w:val="center"/>
              <w:rPr>
                <w:rFonts w:hint="eastAsia" w:ascii="宋体" w:hAnsi="宋体" w:eastAsia="宋体" w:cs="宋体"/>
                <w:color w:val="auto"/>
                <w:sz w:val="21"/>
                <w:szCs w:val="21"/>
                <w:highlight w:val="none"/>
              </w:rPr>
            </w:pPr>
          </w:p>
        </w:tc>
      </w:tr>
      <w:tr w14:paraId="737D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17791C9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612" w:type="dxa"/>
            <w:vAlign w:val="center"/>
          </w:tcPr>
          <w:p w14:paraId="7D52990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绘锦苑1-3栋</w:t>
            </w:r>
          </w:p>
        </w:tc>
        <w:tc>
          <w:tcPr>
            <w:tcW w:w="2726" w:type="dxa"/>
            <w:vAlign w:val="center"/>
          </w:tcPr>
          <w:p w14:paraId="3CCC451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学生公寓</w:t>
            </w:r>
          </w:p>
        </w:tc>
        <w:tc>
          <w:tcPr>
            <w:tcW w:w="1773" w:type="dxa"/>
            <w:vAlign w:val="center"/>
          </w:tcPr>
          <w:p w14:paraId="673769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19283.16</w:t>
            </w:r>
          </w:p>
        </w:tc>
        <w:tc>
          <w:tcPr>
            <w:tcW w:w="1173" w:type="dxa"/>
            <w:vAlign w:val="center"/>
          </w:tcPr>
          <w:p w14:paraId="0BF2A50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616926EE">
            <w:pPr>
              <w:jc w:val="center"/>
              <w:rPr>
                <w:rFonts w:hint="eastAsia" w:ascii="宋体" w:hAnsi="宋体" w:eastAsia="宋体" w:cs="宋体"/>
                <w:color w:val="auto"/>
                <w:sz w:val="21"/>
                <w:szCs w:val="21"/>
                <w:highlight w:val="none"/>
              </w:rPr>
            </w:pPr>
          </w:p>
        </w:tc>
      </w:tr>
      <w:tr w14:paraId="1E5C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270C876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612" w:type="dxa"/>
            <w:vAlign w:val="center"/>
          </w:tcPr>
          <w:p w14:paraId="7B05216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展翼馆</w:t>
            </w:r>
          </w:p>
        </w:tc>
        <w:tc>
          <w:tcPr>
            <w:tcW w:w="2726" w:type="dxa"/>
            <w:vAlign w:val="center"/>
          </w:tcPr>
          <w:p w14:paraId="4F0C15D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学生活动中心</w:t>
            </w:r>
          </w:p>
        </w:tc>
        <w:tc>
          <w:tcPr>
            <w:tcW w:w="1773" w:type="dxa"/>
            <w:vAlign w:val="center"/>
          </w:tcPr>
          <w:p w14:paraId="50A1079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6013.66</w:t>
            </w:r>
          </w:p>
        </w:tc>
        <w:tc>
          <w:tcPr>
            <w:tcW w:w="1173" w:type="dxa"/>
            <w:vAlign w:val="center"/>
          </w:tcPr>
          <w:p w14:paraId="068D034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36F6EB93">
            <w:pPr>
              <w:jc w:val="center"/>
              <w:rPr>
                <w:rFonts w:hint="eastAsia" w:ascii="宋体" w:hAnsi="宋体" w:eastAsia="宋体" w:cs="宋体"/>
                <w:color w:val="auto"/>
                <w:sz w:val="21"/>
                <w:szCs w:val="21"/>
                <w:highlight w:val="none"/>
              </w:rPr>
            </w:pPr>
          </w:p>
        </w:tc>
      </w:tr>
      <w:tr w14:paraId="1878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9" w:type="dxa"/>
            <w:vAlign w:val="center"/>
          </w:tcPr>
          <w:p w14:paraId="1D7B36E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12" w:type="dxa"/>
            <w:vAlign w:val="center"/>
          </w:tcPr>
          <w:p w14:paraId="741103E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食堂共3栋</w:t>
            </w:r>
          </w:p>
        </w:tc>
        <w:tc>
          <w:tcPr>
            <w:tcW w:w="2726" w:type="dxa"/>
            <w:vAlign w:val="center"/>
          </w:tcPr>
          <w:p w14:paraId="7509680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就餐</w:t>
            </w:r>
          </w:p>
        </w:tc>
        <w:tc>
          <w:tcPr>
            <w:tcW w:w="1773" w:type="dxa"/>
            <w:vAlign w:val="center"/>
          </w:tcPr>
          <w:p w14:paraId="6DABC73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15131.35</w:t>
            </w:r>
          </w:p>
        </w:tc>
        <w:tc>
          <w:tcPr>
            <w:tcW w:w="1173" w:type="dxa"/>
            <w:vAlign w:val="center"/>
          </w:tcPr>
          <w:p w14:paraId="6EE0BC5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258AFB62">
            <w:pPr>
              <w:jc w:val="center"/>
              <w:rPr>
                <w:rFonts w:hint="eastAsia" w:ascii="宋体" w:hAnsi="宋体" w:eastAsia="宋体" w:cs="宋体"/>
                <w:color w:val="auto"/>
                <w:sz w:val="21"/>
                <w:szCs w:val="21"/>
                <w:highlight w:val="none"/>
              </w:rPr>
            </w:pPr>
          </w:p>
        </w:tc>
      </w:tr>
      <w:tr w14:paraId="7A85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9" w:type="dxa"/>
            <w:vAlign w:val="center"/>
          </w:tcPr>
          <w:p w14:paraId="7861982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612" w:type="dxa"/>
            <w:vAlign w:val="center"/>
          </w:tcPr>
          <w:p w14:paraId="5CD3044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辅助用房</w:t>
            </w:r>
          </w:p>
        </w:tc>
        <w:tc>
          <w:tcPr>
            <w:tcW w:w="2726" w:type="dxa"/>
            <w:vAlign w:val="center"/>
          </w:tcPr>
          <w:p w14:paraId="6D13197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水池泵房、配电房、值班室</w:t>
            </w:r>
          </w:p>
        </w:tc>
        <w:tc>
          <w:tcPr>
            <w:tcW w:w="1773" w:type="dxa"/>
            <w:vAlign w:val="center"/>
          </w:tcPr>
          <w:p w14:paraId="38154A8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w:t>
            </w:r>
          </w:p>
        </w:tc>
        <w:tc>
          <w:tcPr>
            <w:tcW w:w="1173" w:type="dxa"/>
            <w:vAlign w:val="center"/>
          </w:tcPr>
          <w:p w14:paraId="727F69D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3EA8BB87">
            <w:pPr>
              <w:jc w:val="center"/>
              <w:rPr>
                <w:rFonts w:hint="eastAsia" w:ascii="宋体" w:hAnsi="宋体" w:eastAsia="宋体" w:cs="宋体"/>
                <w:color w:val="auto"/>
                <w:sz w:val="21"/>
                <w:szCs w:val="21"/>
                <w:highlight w:val="none"/>
              </w:rPr>
            </w:pPr>
          </w:p>
        </w:tc>
      </w:tr>
      <w:tr w14:paraId="5268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9" w:type="dxa"/>
            <w:vAlign w:val="center"/>
          </w:tcPr>
          <w:p w14:paraId="17F83DB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4338" w:type="dxa"/>
            <w:gridSpan w:val="2"/>
            <w:vAlign w:val="center"/>
          </w:tcPr>
          <w:p w14:paraId="739B392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太阳能路灯、电力路灯、投光灯、景观灯维修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阀门井、水表井设施</w:t>
            </w:r>
          </w:p>
        </w:tc>
        <w:tc>
          <w:tcPr>
            <w:tcW w:w="1773" w:type="dxa"/>
            <w:vAlign w:val="center"/>
          </w:tcPr>
          <w:p w14:paraId="03D7EAE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w:t>
            </w:r>
          </w:p>
        </w:tc>
        <w:tc>
          <w:tcPr>
            <w:tcW w:w="1173" w:type="dxa"/>
            <w:vAlign w:val="center"/>
          </w:tcPr>
          <w:p w14:paraId="44AD41F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6B8387CA">
            <w:pPr>
              <w:jc w:val="center"/>
              <w:rPr>
                <w:rFonts w:hint="eastAsia" w:ascii="宋体" w:hAnsi="宋体" w:eastAsia="宋体" w:cs="宋体"/>
                <w:color w:val="auto"/>
                <w:sz w:val="21"/>
                <w:szCs w:val="21"/>
                <w:highlight w:val="none"/>
              </w:rPr>
            </w:pPr>
          </w:p>
        </w:tc>
      </w:tr>
      <w:tr w14:paraId="6D73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9" w:type="dxa"/>
            <w:vAlign w:val="center"/>
          </w:tcPr>
          <w:p w14:paraId="08F8B1B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4338" w:type="dxa"/>
            <w:gridSpan w:val="2"/>
            <w:vAlign w:val="center"/>
          </w:tcPr>
          <w:p w14:paraId="0822B1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学生公寓、观山楼热水器维修</w:t>
            </w:r>
          </w:p>
        </w:tc>
        <w:tc>
          <w:tcPr>
            <w:tcW w:w="1773" w:type="dxa"/>
            <w:vAlign w:val="center"/>
          </w:tcPr>
          <w:p w14:paraId="5DE366A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w:t>
            </w:r>
          </w:p>
        </w:tc>
        <w:tc>
          <w:tcPr>
            <w:tcW w:w="1173" w:type="dxa"/>
            <w:vAlign w:val="center"/>
          </w:tcPr>
          <w:p w14:paraId="4D9658D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146B91C6">
            <w:pPr>
              <w:jc w:val="center"/>
              <w:rPr>
                <w:rFonts w:hint="eastAsia" w:ascii="宋体" w:hAnsi="宋体" w:eastAsia="宋体" w:cs="宋体"/>
                <w:color w:val="auto"/>
                <w:sz w:val="21"/>
                <w:szCs w:val="21"/>
                <w:highlight w:val="none"/>
              </w:rPr>
            </w:pPr>
          </w:p>
        </w:tc>
      </w:tr>
      <w:tr w14:paraId="55C0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024504A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338" w:type="dxa"/>
            <w:gridSpan w:val="2"/>
            <w:vAlign w:val="center"/>
          </w:tcPr>
          <w:p w14:paraId="2129C35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水电抄表、核算</w:t>
            </w:r>
          </w:p>
        </w:tc>
        <w:tc>
          <w:tcPr>
            <w:tcW w:w="1773" w:type="dxa"/>
            <w:vAlign w:val="center"/>
          </w:tcPr>
          <w:p w14:paraId="379649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73" w:type="dxa"/>
            <w:vAlign w:val="center"/>
          </w:tcPr>
          <w:p w14:paraId="5394827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7B3916C0">
            <w:pPr>
              <w:jc w:val="center"/>
              <w:rPr>
                <w:rFonts w:hint="eastAsia" w:ascii="宋体" w:hAnsi="宋体" w:eastAsia="宋体" w:cs="宋体"/>
                <w:color w:val="auto"/>
                <w:sz w:val="21"/>
                <w:szCs w:val="21"/>
                <w:highlight w:val="none"/>
              </w:rPr>
            </w:pPr>
          </w:p>
        </w:tc>
      </w:tr>
      <w:tr w14:paraId="426F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5077" w:type="dxa"/>
            <w:gridSpan w:val="3"/>
            <w:vAlign w:val="center"/>
          </w:tcPr>
          <w:p w14:paraId="28CCA83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773" w:type="dxa"/>
            <w:vAlign w:val="center"/>
          </w:tcPr>
          <w:p w14:paraId="75CAB5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232993.35</w:t>
            </w:r>
          </w:p>
        </w:tc>
        <w:tc>
          <w:tcPr>
            <w:tcW w:w="1173" w:type="dxa"/>
            <w:vAlign w:val="center"/>
          </w:tcPr>
          <w:p w14:paraId="4F9B7628">
            <w:pPr>
              <w:jc w:val="center"/>
              <w:rPr>
                <w:rFonts w:hint="eastAsia" w:ascii="宋体" w:hAnsi="宋体" w:eastAsia="宋体" w:cs="宋体"/>
                <w:color w:val="auto"/>
                <w:sz w:val="21"/>
                <w:szCs w:val="21"/>
                <w:highlight w:val="none"/>
              </w:rPr>
            </w:pPr>
          </w:p>
        </w:tc>
        <w:tc>
          <w:tcPr>
            <w:tcW w:w="1741" w:type="dxa"/>
            <w:vMerge w:val="continue"/>
            <w:vAlign w:val="center"/>
          </w:tcPr>
          <w:p w14:paraId="092AAB35">
            <w:pPr>
              <w:jc w:val="center"/>
              <w:rPr>
                <w:rFonts w:hint="eastAsia" w:ascii="宋体" w:hAnsi="宋体" w:eastAsia="宋体" w:cs="宋体"/>
                <w:color w:val="auto"/>
                <w:sz w:val="21"/>
                <w:szCs w:val="21"/>
                <w:highlight w:val="none"/>
              </w:rPr>
            </w:pPr>
          </w:p>
        </w:tc>
      </w:tr>
    </w:tbl>
    <w:p w14:paraId="1D4EFD94">
      <w:pPr>
        <w:pStyle w:val="3"/>
        <w:numPr>
          <w:ilvl w:val="0"/>
          <w:numId w:val="0"/>
        </w:numPr>
        <w:spacing w:before="240" w:line="222" w:lineRule="auto"/>
        <w:outlineLvl w:val="3"/>
        <w:rPr>
          <w:rFonts w:hint="eastAsia"/>
          <w:b w:val="0"/>
          <w:bCs w:val="0"/>
          <w:spacing w:val="16"/>
          <w:sz w:val="27"/>
          <w:szCs w:val="27"/>
        </w:rPr>
      </w:pPr>
    </w:p>
    <w:p w14:paraId="2A245DF9">
      <w:pPr>
        <w:pStyle w:val="3"/>
        <w:numPr>
          <w:ilvl w:val="0"/>
          <w:numId w:val="1"/>
        </w:numPr>
        <w:spacing w:before="240" w:line="222" w:lineRule="auto"/>
        <w:ind w:left="998"/>
        <w:outlineLvl w:val="3"/>
        <w:rPr>
          <w:rFonts w:hint="eastAsia"/>
          <w:b w:val="0"/>
          <w:bCs w:val="0"/>
          <w:spacing w:val="16"/>
          <w:sz w:val="27"/>
          <w:szCs w:val="27"/>
        </w:rPr>
      </w:pPr>
      <w:r>
        <w:rPr>
          <w:rFonts w:hint="eastAsia"/>
          <w:b w:val="0"/>
          <w:bCs w:val="0"/>
          <w:spacing w:val="16"/>
          <w:sz w:val="27"/>
          <w:szCs w:val="27"/>
        </w:rPr>
        <w:t>经开校区：</w:t>
      </w:r>
    </w:p>
    <w:tbl>
      <w:tblPr>
        <w:tblStyle w:val="5"/>
        <w:tblW w:w="9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824"/>
        <w:gridCol w:w="1968"/>
        <w:gridCol w:w="1963"/>
        <w:gridCol w:w="1828"/>
        <w:gridCol w:w="1596"/>
      </w:tblGrid>
      <w:tr w14:paraId="1AEE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6" w:type="dxa"/>
            <w:tcBorders>
              <w:tl2br w:val="nil"/>
              <w:tr2bl w:val="nil"/>
            </w:tcBorders>
            <w:vAlign w:val="center"/>
          </w:tcPr>
          <w:p w14:paraId="6DD2E5B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24" w:type="dxa"/>
            <w:tcBorders>
              <w:tl2br w:val="nil"/>
              <w:tr2bl w:val="nil"/>
            </w:tcBorders>
            <w:vAlign w:val="center"/>
          </w:tcPr>
          <w:p w14:paraId="3AD5DC8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建筑物名称</w:t>
            </w:r>
          </w:p>
        </w:tc>
        <w:tc>
          <w:tcPr>
            <w:tcW w:w="1968" w:type="dxa"/>
            <w:tcBorders>
              <w:tl2br w:val="nil"/>
              <w:tr2bl w:val="nil"/>
            </w:tcBorders>
            <w:vAlign w:val="center"/>
          </w:tcPr>
          <w:p w14:paraId="0399FA3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建筑功能</w:t>
            </w:r>
          </w:p>
        </w:tc>
        <w:tc>
          <w:tcPr>
            <w:tcW w:w="1963" w:type="dxa"/>
            <w:tcBorders>
              <w:tl2br w:val="nil"/>
              <w:tr2bl w:val="nil"/>
            </w:tcBorders>
            <w:vAlign w:val="center"/>
          </w:tcPr>
          <w:p w14:paraId="32A4ED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p>
        </w:tc>
        <w:tc>
          <w:tcPr>
            <w:tcW w:w="1828" w:type="dxa"/>
            <w:tcBorders>
              <w:tl2br w:val="nil"/>
              <w:tr2bl w:val="nil"/>
            </w:tcBorders>
            <w:vAlign w:val="center"/>
          </w:tcPr>
          <w:p w14:paraId="446C011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计价时间（月）</w:t>
            </w:r>
          </w:p>
        </w:tc>
        <w:tc>
          <w:tcPr>
            <w:tcW w:w="1596" w:type="dxa"/>
            <w:tcBorders>
              <w:tl2br w:val="nil"/>
              <w:tr2bl w:val="nil"/>
            </w:tcBorders>
            <w:vAlign w:val="center"/>
          </w:tcPr>
          <w:p w14:paraId="03ED6D6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C19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0EF41FB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24" w:type="dxa"/>
            <w:tcBorders>
              <w:tl2br w:val="nil"/>
              <w:tr2bl w:val="nil"/>
            </w:tcBorders>
            <w:vAlign w:val="center"/>
          </w:tcPr>
          <w:p w14:paraId="16FF65A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教学楼</w:t>
            </w:r>
          </w:p>
        </w:tc>
        <w:tc>
          <w:tcPr>
            <w:tcW w:w="1968" w:type="dxa"/>
            <w:tcBorders>
              <w:tl2br w:val="nil"/>
              <w:tr2bl w:val="nil"/>
            </w:tcBorders>
            <w:vAlign w:val="center"/>
          </w:tcPr>
          <w:p w14:paraId="4193761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教学办公</w:t>
            </w:r>
          </w:p>
        </w:tc>
        <w:tc>
          <w:tcPr>
            <w:tcW w:w="1963" w:type="dxa"/>
            <w:tcBorders>
              <w:tl2br w:val="nil"/>
              <w:tr2bl w:val="nil"/>
            </w:tcBorders>
            <w:vAlign w:val="center"/>
          </w:tcPr>
          <w:p w14:paraId="1EDFC0E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5719.2</w:t>
            </w:r>
          </w:p>
        </w:tc>
        <w:tc>
          <w:tcPr>
            <w:tcW w:w="1828" w:type="dxa"/>
            <w:tcBorders>
              <w:tl2br w:val="nil"/>
              <w:tr2bl w:val="nil"/>
            </w:tcBorders>
            <w:vAlign w:val="center"/>
          </w:tcPr>
          <w:p w14:paraId="0D71F96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restart"/>
            <w:tcBorders>
              <w:tl2br w:val="nil"/>
              <w:tr2bl w:val="nil"/>
            </w:tcBorders>
            <w:vAlign w:val="center"/>
          </w:tcPr>
          <w:p w14:paraId="720169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所有建筑需包含地下室区域，对外经营商业区。</w:t>
            </w:r>
          </w:p>
        </w:tc>
      </w:tr>
      <w:tr w14:paraId="372B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40690E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24" w:type="dxa"/>
            <w:tcBorders>
              <w:tl2br w:val="nil"/>
              <w:tr2bl w:val="nil"/>
            </w:tcBorders>
            <w:vAlign w:val="center"/>
          </w:tcPr>
          <w:p w14:paraId="1D0406B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实验楼</w:t>
            </w:r>
          </w:p>
        </w:tc>
        <w:tc>
          <w:tcPr>
            <w:tcW w:w="1968" w:type="dxa"/>
            <w:tcBorders>
              <w:tl2br w:val="nil"/>
              <w:tr2bl w:val="nil"/>
            </w:tcBorders>
            <w:vAlign w:val="center"/>
          </w:tcPr>
          <w:p w14:paraId="75C685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教学办公</w:t>
            </w:r>
          </w:p>
        </w:tc>
        <w:tc>
          <w:tcPr>
            <w:tcW w:w="1963" w:type="dxa"/>
            <w:tcBorders>
              <w:tl2br w:val="nil"/>
              <w:tr2bl w:val="nil"/>
            </w:tcBorders>
            <w:vAlign w:val="center"/>
          </w:tcPr>
          <w:p w14:paraId="4FE69FF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3995.04</w:t>
            </w:r>
          </w:p>
        </w:tc>
        <w:tc>
          <w:tcPr>
            <w:tcW w:w="1828" w:type="dxa"/>
            <w:tcBorders>
              <w:tl2br w:val="nil"/>
              <w:tr2bl w:val="nil"/>
            </w:tcBorders>
            <w:vAlign w:val="center"/>
          </w:tcPr>
          <w:p w14:paraId="12FDCD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continue"/>
            <w:tcBorders>
              <w:tl2br w:val="nil"/>
              <w:tr2bl w:val="nil"/>
            </w:tcBorders>
            <w:vAlign w:val="center"/>
          </w:tcPr>
          <w:p w14:paraId="527E6817">
            <w:pPr>
              <w:rPr>
                <w:rFonts w:hint="eastAsia" w:ascii="宋体" w:hAnsi="宋体" w:eastAsia="宋体" w:cs="宋体"/>
                <w:color w:val="auto"/>
                <w:sz w:val="21"/>
                <w:szCs w:val="21"/>
                <w:highlight w:val="none"/>
              </w:rPr>
            </w:pPr>
          </w:p>
        </w:tc>
      </w:tr>
      <w:tr w14:paraId="4E26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73EDEC1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24" w:type="dxa"/>
            <w:tcBorders>
              <w:tl2br w:val="nil"/>
              <w:tr2bl w:val="nil"/>
            </w:tcBorders>
            <w:vAlign w:val="center"/>
          </w:tcPr>
          <w:p w14:paraId="4E69EA5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图科楼</w:t>
            </w:r>
          </w:p>
        </w:tc>
        <w:tc>
          <w:tcPr>
            <w:tcW w:w="1968" w:type="dxa"/>
            <w:tcBorders>
              <w:tl2br w:val="nil"/>
              <w:tr2bl w:val="nil"/>
            </w:tcBorders>
            <w:vAlign w:val="center"/>
          </w:tcPr>
          <w:p w14:paraId="534B527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教学办公</w:t>
            </w:r>
          </w:p>
        </w:tc>
        <w:tc>
          <w:tcPr>
            <w:tcW w:w="1963" w:type="dxa"/>
            <w:tcBorders>
              <w:tl2br w:val="nil"/>
              <w:tr2bl w:val="nil"/>
            </w:tcBorders>
            <w:vAlign w:val="center"/>
          </w:tcPr>
          <w:p w14:paraId="61D1EE8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7981.95</w:t>
            </w:r>
          </w:p>
        </w:tc>
        <w:tc>
          <w:tcPr>
            <w:tcW w:w="1828" w:type="dxa"/>
            <w:tcBorders>
              <w:tl2br w:val="nil"/>
              <w:tr2bl w:val="nil"/>
            </w:tcBorders>
            <w:vAlign w:val="center"/>
          </w:tcPr>
          <w:p w14:paraId="4B355C4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continue"/>
            <w:tcBorders>
              <w:tl2br w:val="nil"/>
              <w:tr2bl w:val="nil"/>
            </w:tcBorders>
            <w:vAlign w:val="center"/>
          </w:tcPr>
          <w:p w14:paraId="0404876C">
            <w:pPr>
              <w:rPr>
                <w:rFonts w:hint="eastAsia" w:ascii="宋体" w:hAnsi="宋体" w:eastAsia="宋体" w:cs="宋体"/>
                <w:color w:val="auto"/>
                <w:sz w:val="21"/>
                <w:szCs w:val="21"/>
                <w:highlight w:val="none"/>
              </w:rPr>
            </w:pPr>
          </w:p>
        </w:tc>
      </w:tr>
      <w:tr w14:paraId="38FA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673B5DE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24" w:type="dxa"/>
            <w:tcBorders>
              <w:tl2br w:val="nil"/>
              <w:tr2bl w:val="nil"/>
            </w:tcBorders>
            <w:vAlign w:val="center"/>
          </w:tcPr>
          <w:p w14:paraId="6F74D55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绘瑧院1栋</w:t>
            </w:r>
          </w:p>
        </w:tc>
        <w:tc>
          <w:tcPr>
            <w:tcW w:w="1968" w:type="dxa"/>
            <w:tcBorders>
              <w:tl2br w:val="nil"/>
              <w:tr2bl w:val="nil"/>
            </w:tcBorders>
            <w:vAlign w:val="center"/>
          </w:tcPr>
          <w:p w14:paraId="483FE2B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学生宿舍</w:t>
            </w:r>
          </w:p>
        </w:tc>
        <w:tc>
          <w:tcPr>
            <w:tcW w:w="1963" w:type="dxa"/>
            <w:tcBorders>
              <w:tl2br w:val="nil"/>
              <w:tr2bl w:val="nil"/>
            </w:tcBorders>
            <w:vAlign w:val="center"/>
          </w:tcPr>
          <w:p w14:paraId="4F70756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4316</w:t>
            </w:r>
          </w:p>
        </w:tc>
        <w:tc>
          <w:tcPr>
            <w:tcW w:w="1828" w:type="dxa"/>
            <w:tcBorders>
              <w:tl2br w:val="nil"/>
              <w:tr2bl w:val="nil"/>
            </w:tcBorders>
            <w:vAlign w:val="center"/>
          </w:tcPr>
          <w:p w14:paraId="18D0BE5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continue"/>
            <w:tcBorders>
              <w:tl2br w:val="nil"/>
              <w:tr2bl w:val="nil"/>
            </w:tcBorders>
            <w:vAlign w:val="center"/>
          </w:tcPr>
          <w:p w14:paraId="5BFEAE5D">
            <w:pPr>
              <w:rPr>
                <w:rFonts w:hint="eastAsia" w:ascii="宋体" w:hAnsi="宋体" w:eastAsia="宋体" w:cs="宋体"/>
                <w:color w:val="auto"/>
                <w:sz w:val="21"/>
                <w:szCs w:val="21"/>
                <w:highlight w:val="none"/>
              </w:rPr>
            </w:pPr>
          </w:p>
        </w:tc>
      </w:tr>
      <w:tr w14:paraId="2F7B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42D9F84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824" w:type="dxa"/>
            <w:tcBorders>
              <w:tl2br w:val="nil"/>
              <w:tr2bl w:val="nil"/>
            </w:tcBorders>
            <w:vAlign w:val="center"/>
          </w:tcPr>
          <w:p w14:paraId="7C4B2AD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绘瑧院2栋</w:t>
            </w:r>
          </w:p>
        </w:tc>
        <w:tc>
          <w:tcPr>
            <w:tcW w:w="1968" w:type="dxa"/>
            <w:tcBorders>
              <w:tl2br w:val="nil"/>
              <w:tr2bl w:val="nil"/>
            </w:tcBorders>
            <w:vAlign w:val="center"/>
          </w:tcPr>
          <w:p w14:paraId="6EC81C9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学生宿舍</w:t>
            </w:r>
          </w:p>
        </w:tc>
        <w:tc>
          <w:tcPr>
            <w:tcW w:w="1963" w:type="dxa"/>
            <w:tcBorders>
              <w:tl2br w:val="nil"/>
              <w:tr2bl w:val="nil"/>
            </w:tcBorders>
            <w:vAlign w:val="center"/>
          </w:tcPr>
          <w:p w14:paraId="2B3C7C8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1858.08</w:t>
            </w:r>
          </w:p>
        </w:tc>
        <w:tc>
          <w:tcPr>
            <w:tcW w:w="1828" w:type="dxa"/>
            <w:tcBorders>
              <w:tl2br w:val="nil"/>
              <w:tr2bl w:val="nil"/>
            </w:tcBorders>
            <w:vAlign w:val="center"/>
          </w:tcPr>
          <w:p w14:paraId="65B691B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continue"/>
            <w:tcBorders>
              <w:tl2br w:val="nil"/>
              <w:tr2bl w:val="nil"/>
            </w:tcBorders>
            <w:vAlign w:val="center"/>
          </w:tcPr>
          <w:p w14:paraId="51AADBA7">
            <w:pPr>
              <w:rPr>
                <w:rFonts w:hint="eastAsia" w:ascii="宋体" w:hAnsi="宋体" w:eastAsia="宋体" w:cs="宋体"/>
                <w:color w:val="auto"/>
                <w:sz w:val="21"/>
                <w:szCs w:val="21"/>
                <w:highlight w:val="none"/>
              </w:rPr>
            </w:pPr>
          </w:p>
        </w:tc>
      </w:tr>
      <w:tr w14:paraId="0CC6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7085F8B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824" w:type="dxa"/>
            <w:tcBorders>
              <w:tl2br w:val="nil"/>
              <w:tr2bl w:val="nil"/>
            </w:tcBorders>
            <w:vAlign w:val="center"/>
          </w:tcPr>
          <w:p w14:paraId="426D422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绘瑧院3栋</w:t>
            </w:r>
          </w:p>
        </w:tc>
        <w:tc>
          <w:tcPr>
            <w:tcW w:w="1968" w:type="dxa"/>
            <w:tcBorders>
              <w:tl2br w:val="nil"/>
              <w:tr2bl w:val="nil"/>
            </w:tcBorders>
            <w:vAlign w:val="center"/>
          </w:tcPr>
          <w:p w14:paraId="16354F8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学生宿舍</w:t>
            </w:r>
          </w:p>
        </w:tc>
        <w:tc>
          <w:tcPr>
            <w:tcW w:w="1963" w:type="dxa"/>
            <w:tcBorders>
              <w:tl2br w:val="nil"/>
              <w:tr2bl w:val="nil"/>
            </w:tcBorders>
            <w:vAlign w:val="center"/>
          </w:tcPr>
          <w:p w14:paraId="46949F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1166.16</w:t>
            </w:r>
          </w:p>
        </w:tc>
        <w:tc>
          <w:tcPr>
            <w:tcW w:w="1828" w:type="dxa"/>
            <w:tcBorders>
              <w:tl2br w:val="nil"/>
              <w:tr2bl w:val="nil"/>
            </w:tcBorders>
            <w:vAlign w:val="center"/>
          </w:tcPr>
          <w:p w14:paraId="3E817D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continue"/>
            <w:tcBorders>
              <w:tl2br w:val="nil"/>
              <w:tr2bl w:val="nil"/>
            </w:tcBorders>
            <w:vAlign w:val="center"/>
          </w:tcPr>
          <w:p w14:paraId="653DFCF3">
            <w:pPr>
              <w:rPr>
                <w:rFonts w:hint="eastAsia" w:ascii="宋体" w:hAnsi="宋体" w:eastAsia="宋体" w:cs="宋体"/>
                <w:color w:val="auto"/>
                <w:sz w:val="21"/>
                <w:szCs w:val="21"/>
                <w:highlight w:val="none"/>
              </w:rPr>
            </w:pPr>
          </w:p>
        </w:tc>
      </w:tr>
      <w:tr w14:paraId="1A66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27F6732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824" w:type="dxa"/>
            <w:tcBorders>
              <w:tl2br w:val="nil"/>
              <w:tr2bl w:val="nil"/>
            </w:tcBorders>
            <w:vAlign w:val="center"/>
          </w:tcPr>
          <w:p w14:paraId="67879D7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绘瑧院4栋</w:t>
            </w:r>
          </w:p>
        </w:tc>
        <w:tc>
          <w:tcPr>
            <w:tcW w:w="1968" w:type="dxa"/>
            <w:tcBorders>
              <w:tl2br w:val="nil"/>
              <w:tr2bl w:val="nil"/>
            </w:tcBorders>
            <w:vAlign w:val="center"/>
          </w:tcPr>
          <w:p w14:paraId="7ADC5D5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学生宿舍</w:t>
            </w:r>
          </w:p>
        </w:tc>
        <w:tc>
          <w:tcPr>
            <w:tcW w:w="1963" w:type="dxa"/>
            <w:tcBorders>
              <w:tl2br w:val="nil"/>
              <w:tr2bl w:val="nil"/>
            </w:tcBorders>
            <w:vAlign w:val="center"/>
          </w:tcPr>
          <w:p w14:paraId="737FDEC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1861.2</w:t>
            </w:r>
          </w:p>
        </w:tc>
        <w:tc>
          <w:tcPr>
            <w:tcW w:w="1828" w:type="dxa"/>
            <w:tcBorders>
              <w:tl2br w:val="nil"/>
              <w:tr2bl w:val="nil"/>
            </w:tcBorders>
            <w:vAlign w:val="center"/>
          </w:tcPr>
          <w:p w14:paraId="4613455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continue"/>
            <w:tcBorders>
              <w:tl2br w:val="nil"/>
              <w:tr2bl w:val="nil"/>
            </w:tcBorders>
            <w:vAlign w:val="center"/>
          </w:tcPr>
          <w:p w14:paraId="358C2C0A">
            <w:pPr>
              <w:rPr>
                <w:rFonts w:hint="eastAsia" w:ascii="宋体" w:hAnsi="宋体" w:eastAsia="宋体" w:cs="宋体"/>
                <w:color w:val="auto"/>
                <w:sz w:val="21"/>
                <w:szCs w:val="21"/>
                <w:highlight w:val="none"/>
              </w:rPr>
            </w:pPr>
          </w:p>
        </w:tc>
      </w:tr>
      <w:tr w14:paraId="513C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383E922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824" w:type="dxa"/>
            <w:tcBorders>
              <w:tl2br w:val="nil"/>
              <w:tr2bl w:val="nil"/>
            </w:tcBorders>
            <w:vAlign w:val="center"/>
          </w:tcPr>
          <w:p w14:paraId="5D46B03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绘瑧院5栋</w:t>
            </w:r>
          </w:p>
        </w:tc>
        <w:tc>
          <w:tcPr>
            <w:tcW w:w="1968" w:type="dxa"/>
            <w:tcBorders>
              <w:tl2br w:val="nil"/>
              <w:tr2bl w:val="nil"/>
            </w:tcBorders>
            <w:vAlign w:val="center"/>
          </w:tcPr>
          <w:p w14:paraId="5EEE77C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学生宿舍</w:t>
            </w:r>
          </w:p>
        </w:tc>
        <w:tc>
          <w:tcPr>
            <w:tcW w:w="1963" w:type="dxa"/>
            <w:tcBorders>
              <w:tl2br w:val="nil"/>
              <w:tr2bl w:val="nil"/>
            </w:tcBorders>
            <w:vAlign w:val="center"/>
          </w:tcPr>
          <w:p w14:paraId="201F31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3276</w:t>
            </w:r>
          </w:p>
        </w:tc>
        <w:tc>
          <w:tcPr>
            <w:tcW w:w="1828" w:type="dxa"/>
            <w:tcBorders>
              <w:tl2br w:val="nil"/>
              <w:tr2bl w:val="nil"/>
            </w:tcBorders>
            <w:vAlign w:val="center"/>
          </w:tcPr>
          <w:p w14:paraId="3CC3D0F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continue"/>
            <w:tcBorders>
              <w:tl2br w:val="nil"/>
              <w:tr2bl w:val="nil"/>
            </w:tcBorders>
            <w:vAlign w:val="center"/>
          </w:tcPr>
          <w:p w14:paraId="52AB27CD">
            <w:pPr>
              <w:rPr>
                <w:rFonts w:hint="eastAsia" w:ascii="宋体" w:hAnsi="宋体" w:eastAsia="宋体" w:cs="宋体"/>
                <w:color w:val="auto"/>
                <w:sz w:val="21"/>
                <w:szCs w:val="21"/>
                <w:highlight w:val="none"/>
              </w:rPr>
            </w:pPr>
          </w:p>
        </w:tc>
      </w:tr>
      <w:tr w14:paraId="348B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56" w:type="dxa"/>
            <w:tcBorders>
              <w:tl2br w:val="nil"/>
              <w:tr2bl w:val="nil"/>
            </w:tcBorders>
            <w:vAlign w:val="center"/>
          </w:tcPr>
          <w:p w14:paraId="6F7995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824" w:type="dxa"/>
            <w:tcBorders>
              <w:tl2br w:val="nil"/>
              <w:tr2bl w:val="nil"/>
            </w:tcBorders>
            <w:vAlign w:val="center"/>
          </w:tcPr>
          <w:p w14:paraId="6F4AFA0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公厕</w:t>
            </w:r>
          </w:p>
        </w:tc>
        <w:tc>
          <w:tcPr>
            <w:tcW w:w="1968" w:type="dxa"/>
            <w:tcBorders>
              <w:tl2br w:val="nil"/>
              <w:tr2bl w:val="nil"/>
            </w:tcBorders>
            <w:vAlign w:val="center"/>
          </w:tcPr>
          <w:p w14:paraId="19E3112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w:t>
            </w:r>
          </w:p>
        </w:tc>
        <w:tc>
          <w:tcPr>
            <w:tcW w:w="1963" w:type="dxa"/>
            <w:tcBorders>
              <w:tl2br w:val="nil"/>
              <w:tr2bl w:val="nil"/>
            </w:tcBorders>
            <w:vAlign w:val="center"/>
          </w:tcPr>
          <w:p w14:paraId="57054EB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81.86</w:t>
            </w:r>
          </w:p>
        </w:tc>
        <w:tc>
          <w:tcPr>
            <w:tcW w:w="1828" w:type="dxa"/>
            <w:tcBorders>
              <w:tl2br w:val="nil"/>
              <w:tr2bl w:val="nil"/>
            </w:tcBorders>
            <w:vAlign w:val="center"/>
          </w:tcPr>
          <w:p w14:paraId="285ABC3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continue"/>
            <w:tcBorders>
              <w:tl2br w:val="nil"/>
              <w:tr2bl w:val="nil"/>
            </w:tcBorders>
            <w:vAlign w:val="center"/>
          </w:tcPr>
          <w:p w14:paraId="3432F105">
            <w:pPr>
              <w:rPr>
                <w:rFonts w:hint="eastAsia" w:ascii="宋体" w:hAnsi="宋体" w:eastAsia="宋体" w:cs="宋体"/>
                <w:color w:val="auto"/>
                <w:sz w:val="21"/>
                <w:szCs w:val="21"/>
                <w:highlight w:val="none"/>
              </w:rPr>
            </w:pPr>
          </w:p>
        </w:tc>
      </w:tr>
      <w:tr w14:paraId="5D9A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0C6D61E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792" w:type="dxa"/>
            <w:gridSpan w:val="2"/>
            <w:tcBorders>
              <w:tl2br w:val="nil"/>
              <w:tr2bl w:val="nil"/>
            </w:tcBorders>
            <w:vAlign w:val="center"/>
          </w:tcPr>
          <w:p w14:paraId="6232F1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供水供电管理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阀门井、水表井设施</w:t>
            </w:r>
          </w:p>
        </w:tc>
        <w:tc>
          <w:tcPr>
            <w:tcW w:w="1963" w:type="dxa"/>
            <w:tcBorders>
              <w:tl2br w:val="nil"/>
              <w:tr2bl w:val="nil"/>
            </w:tcBorders>
            <w:vAlign w:val="center"/>
          </w:tcPr>
          <w:p w14:paraId="1C12BE5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28" w:type="dxa"/>
            <w:tcBorders>
              <w:tl2br w:val="nil"/>
              <w:tr2bl w:val="nil"/>
            </w:tcBorders>
            <w:vAlign w:val="center"/>
          </w:tcPr>
          <w:p w14:paraId="39D4DCD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continue"/>
            <w:tcBorders>
              <w:tl2br w:val="nil"/>
              <w:tr2bl w:val="nil"/>
            </w:tcBorders>
            <w:vAlign w:val="center"/>
          </w:tcPr>
          <w:p w14:paraId="0C9FFB56">
            <w:pPr>
              <w:rPr>
                <w:rFonts w:hint="eastAsia" w:ascii="宋体" w:hAnsi="宋体" w:eastAsia="宋体" w:cs="宋体"/>
                <w:color w:val="auto"/>
                <w:sz w:val="21"/>
                <w:szCs w:val="21"/>
                <w:highlight w:val="none"/>
              </w:rPr>
            </w:pPr>
          </w:p>
        </w:tc>
      </w:tr>
      <w:tr w14:paraId="347C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56" w:type="dxa"/>
            <w:tcBorders>
              <w:tl2br w:val="nil"/>
              <w:tr2bl w:val="nil"/>
            </w:tcBorders>
            <w:vAlign w:val="center"/>
          </w:tcPr>
          <w:p w14:paraId="7CF751E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3792" w:type="dxa"/>
            <w:gridSpan w:val="2"/>
            <w:tcBorders>
              <w:tl2br w:val="nil"/>
              <w:tr2bl w:val="nil"/>
            </w:tcBorders>
            <w:vAlign w:val="center"/>
          </w:tcPr>
          <w:p w14:paraId="506E3E8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室外路灯、投光灯、景观灯、水电维修</w:t>
            </w:r>
          </w:p>
        </w:tc>
        <w:tc>
          <w:tcPr>
            <w:tcW w:w="1963" w:type="dxa"/>
            <w:tcBorders>
              <w:tl2br w:val="nil"/>
              <w:tr2bl w:val="nil"/>
            </w:tcBorders>
            <w:vAlign w:val="center"/>
          </w:tcPr>
          <w:p w14:paraId="3B84891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28" w:type="dxa"/>
            <w:tcBorders>
              <w:tl2br w:val="nil"/>
              <w:tr2bl w:val="nil"/>
            </w:tcBorders>
            <w:vAlign w:val="center"/>
          </w:tcPr>
          <w:p w14:paraId="0FFB8F9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continue"/>
            <w:tcBorders>
              <w:tl2br w:val="nil"/>
              <w:tr2bl w:val="nil"/>
            </w:tcBorders>
            <w:vAlign w:val="center"/>
          </w:tcPr>
          <w:p w14:paraId="70B2148A">
            <w:pPr>
              <w:rPr>
                <w:rFonts w:hint="eastAsia" w:ascii="宋体" w:hAnsi="宋体" w:eastAsia="宋体" w:cs="宋体"/>
                <w:color w:val="auto"/>
                <w:sz w:val="21"/>
                <w:szCs w:val="21"/>
                <w:highlight w:val="none"/>
              </w:rPr>
            </w:pPr>
          </w:p>
        </w:tc>
      </w:tr>
      <w:tr w14:paraId="6C6A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56" w:type="dxa"/>
            <w:tcBorders>
              <w:tl2br w:val="nil"/>
              <w:tr2bl w:val="nil"/>
            </w:tcBorders>
            <w:vAlign w:val="center"/>
          </w:tcPr>
          <w:p w14:paraId="227EA02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3792" w:type="dxa"/>
            <w:gridSpan w:val="2"/>
            <w:tcBorders>
              <w:tl2br w:val="nil"/>
              <w:tr2bl w:val="nil"/>
            </w:tcBorders>
            <w:vAlign w:val="center"/>
          </w:tcPr>
          <w:p w14:paraId="3EB8069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水电抄表、核算</w:t>
            </w:r>
          </w:p>
        </w:tc>
        <w:tc>
          <w:tcPr>
            <w:tcW w:w="1963" w:type="dxa"/>
            <w:tcBorders>
              <w:tl2br w:val="nil"/>
              <w:tr2bl w:val="nil"/>
            </w:tcBorders>
            <w:vAlign w:val="center"/>
          </w:tcPr>
          <w:p w14:paraId="381B1A5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28" w:type="dxa"/>
            <w:tcBorders>
              <w:tl2br w:val="nil"/>
              <w:tr2bl w:val="nil"/>
            </w:tcBorders>
            <w:vAlign w:val="center"/>
          </w:tcPr>
          <w:p w14:paraId="73E5545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continue"/>
            <w:tcBorders>
              <w:tl2br w:val="nil"/>
              <w:tr2bl w:val="nil"/>
            </w:tcBorders>
            <w:vAlign w:val="center"/>
          </w:tcPr>
          <w:p w14:paraId="6F85F908">
            <w:pPr>
              <w:rPr>
                <w:rFonts w:hint="eastAsia" w:ascii="宋体" w:hAnsi="宋体" w:eastAsia="宋体" w:cs="宋体"/>
                <w:color w:val="auto"/>
                <w:sz w:val="21"/>
                <w:szCs w:val="21"/>
                <w:highlight w:val="none"/>
              </w:rPr>
            </w:pPr>
          </w:p>
        </w:tc>
      </w:tr>
      <w:tr w14:paraId="71EB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56" w:type="dxa"/>
            <w:tcBorders>
              <w:tl2br w:val="nil"/>
              <w:tr2bl w:val="nil"/>
            </w:tcBorders>
            <w:noWrap/>
            <w:vAlign w:val="bottom"/>
          </w:tcPr>
          <w:p w14:paraId="498DE50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3792" w:type="dxa"/>
            <w:gridSpan w:val="2"/>
            <w:tcBorders>
              <w:tl2br w:val="nil"/>
              <w:tr2bl w:val="nil"/>
            </w:tcBorders>
            <w:noWrap/>
            <w:vAlign w:val="bottom"/>
          </w:tcPr>
          <w:p w14:paraId="2D85C96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963" w:type="dxa"/>
            <w:tcBorders>
              <w:tl2br w:val="nil"/>
              <w:tr2bl w:val="nil"/>
            </w:tcBorders>
            <w:noWrap/>
            <w:vAlign w:val="bottom"/>
          </w:tcPr>
          <w:p w14:paraId="6FA5911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30257.49</w:t>
            </w:r>
          </w:p>
        </w:tc>
        <w:tc>
          <w:tcPr>
            <w:tcW w:w="1828" w:type="dxa"/>
            <w:tcBorders>
              <w:tl2br w:val="nil"/>
              <w:tr2bl w:val="nil"/>
            </w:tcBorders>
            <w:noWrap/>
            <w:vAlign w:val="bottom"/>
          </w:tcPr>
          <w:p w14:paraId="4231E4F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596" w:type="dxa"/>
            <w:vMerge w:val="continue"/>
            <w:tcBorders>
              <w:tl2br w:val="nil"/>
              <w:tr2bl w:val="nil"/>
            </w:tcBorders>
            <w:noWrap/>
            <w:vAlign w:val="bottom"/>
          </w:tcPr>
          <w:p w14:paraId="5F1DE31D">
            <w:pPr>
              <w:rPr>
                <w:rFonts w:hint="eastAsia" w:ascii="宋体" w:hAnsi="宋体" w:eastAsia="宋体" w:cs="宋体"/>
                <w:color w:val="auto"/>
                <w:sz w:val="21"/>
                <w:szCs w:val="21"/>
                <w:highlight w:val="none"/>
              </w:rPr>
            </w:pPr>
          </w:p>
        </w:tc>
      </w:tr>
    </w:tbl>
    <w:p w14:paraId="316396D7">
      <w:pPr>
        <w:pStyle w:val="3"/>
        <w:numPr>
          <w:ilvl w:val="0"/>
          <w:numId w:val="0"/>
        </w:numPr>
        <w:spacing w:before="240" w:line="222" w:lineRule="auto"/>
        <w:outlineLvl w:val="3"/>
        <w:rPr>
          <w:rFonts w:hint="eastAsia"/>
          <w:b w:val="0"/>
          <w:bCs w:val="0"/>
          <w:spacing w:val="16"/>
          <w:sz w:val="27"/>
          <w:szCs w:val="27"/>
        </w:rPr>
      </w:pPr>
    </w:p>
    <w:p w14:paraId="2959E782">
      <w:pPr>
        <w:pStyle w:val="3"/>
        <w:numPr>
          <w:ilvl w:val="0"/>
          <w:numId w:val="1"/>
        </w:numPr>
        <w:spacing w:before="240" w:line="222" w:lineRule="auto"/>
        <w:ind w:left="998"/>
        <w:outlineLvl w:val="3"/>
        <w:rPr>
          <w:rFonts w:hint="eastAsia"/>
          <w:b w:val="0"/>
          <w:bCs w:val="0"/>
          <w:spacing w:val="16"/>
          <w:sz w:val="27"/>
          <w:szCs w:val="27"/>
        </w:rPr>
      </w:pPr>
      <w:r>
        <w:rPr>
          <w:rFonts w:hint="eastAsia"/>
          <w:b w:val="0"/>
          <w:bCs w:val="0"/>
          <w:spacing w:val="16"/>
          <w:sz w:val="27"/>
          <w:szCs w:val="27"/>
        </w:rPr>
        <w:t>武定校区：</w:t>
      </w:r>
    </w:p>
    <w:tbl>
      <w:tblPr>
        <w:tblStyle w:val="5"/>
        <w:tblW w:w="9818" w:type="dxa"/>
        <w:jc w:val="center"/>
        <w:tblLayout w:type="autofit"/>
        <w:tblCellMar>
          <w:top w:w="0" w:type="dxa"/>
          <w:left w:w="108" w:type="dxa"/>
          <w:bottom w:w="0" w:type="dxa"/>
          <w:right w:w="108" w:type="dxa"/>
        </w:tblCellMar>
      </w:tblPr>
      <w:tblGrid>
        <w:gridCol w:w="617"/>
        <w:gridCol w:w="1671"/>
        <w:gridCol w:w="1918"/>
        <w:gridCol w:w="1704"/>
        <w:gridCol w:w="1726"/>
        <w:gridCol w:w="2182"/>
      </w:tblGrid>
      <w:tr w14:paraId="28B50CAA">
        <w:tblPrEx>
          <w:tblCellMar>
            <w:top w:w="0" w:type="dxa"/>
            <w:left w:w="108" w:type="dxa"/>
            <w:bottom w:w="0" w:type="dxa"/>
            <w:right w:w="108" w:type="dxa"/>
          </w:tblCellMar>
        </w:tblPrEx>
        <w:trPr>
          <w:trHeight w:val="928"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76776D0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71" w:type="dxa"/>
            <w:tcBorders>
              <w:top w:val="single" w:color="auto" w:sz="4" w:space="0"/>
              <w:left w:val="single" w:color="auto" w:sz="4" w:space="0"/>
              <w:bottom w:val="single" w:color="auto" w:sz="4" w:space="0"/>
              <w:right w:val="single" w:color="auto" w:sz="4" w:space="0"/>
            </w:tcBorders>
            <w:vAlign w:val="center"/>
          </w:tcPr>
          <w:p w14:paraId="658A2D3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建筑物名称</w:t>
            </w:r>
          </w:p>
        </w:tc>
        <w:tc>
          <w:tcPr>
            <w:tcW w:w="1918" w:type="dxa"/>
            <w:tcBorders>
              <w:top w:val="single" w:color="auto" w:sz="4" w:space="0"/>
              <w:left w:val="single" w:color="auto" w:sz="4" w:space="0"/>
              <w:bottom w:val="single" w:color="auto" w:sz="4" w:space="0"/>
              <w:right w:val="single" w:color="auto" w:sz="4" w:space="0"/>
            </w:tcBorders>
            <w:vAlign w:val="center"/>
          </w:tcPr>
          <w:p w14:paraId="2802BB4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建筑功能</w:t>
            </w:r>
          </w:p>
        </w:tc>
        <w:tc>
          <w:tcPr>
            <w:tcW w:w="1704" w:type="dxa"/>
            <w:tcBorders>
              <w:top w:val="single" w:color="auto" w:sz="4" w:space="0"/>
              <w:left w:val="single" w:color="auto" w:sz="4" w:space="0"/>
              <w:bottom w:val="single" w:color="auto" w:sz="4" w:space="0"/>
              <w:right w:val="single" w:color="auto" w:sz="4" w:space="0"/>
            </w:tcBorders>
            <w:vAlign w:val="center"/>
          </w:tcPr>
          <w:p w14:paraId="3B0CD0F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p>
        </w:tc>
        <w:tc>
          <w:tcPr>
            <w:tcW w:w="1726" w:type="dxa"/>
            <w:tcBorders>
              <w:top w:val="single" w:color="auto" w:sz="4" w:space="0"/>
              <w:left w:val="single" w:color="auto" w:sz="4" w:space="0"/>
              <w:bottom w:val="single" w:color="auto" w:sz="4" w:space="0"/>
              <w:right w:val="single" w:color="auto" w:sz="4" w:space="0"/>
            </w:tcBorders>
            <w:vAlign w:val="center"/>
          </w:tcPr>
          <w:p w14:paraId="1CF8BB4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计价时间（月）</w:t>
            </w:r>
          </w:p>
        </w:tc>
        <w:tc>
          <w:tcPr>
            <w:tcW w:w="2182" w:type="dxa"/>
            <w:tcBorders>
              <w:top w:val="single" w:color="auto" w:sz="4" w:space="0"/>
              <w:left w:val="single" w:color="auto" w:sz="4" w:space="0"/>
              <w:bottom w:val="single" w:color="auto" w:sz="4" w:space="0"/>
              <w:right w:val="single" w:color="auto" w:sz="4" w:space="0"/>
            </w:tcBorders>
            <w:vAlign w:val="center"/>
          </w:tcPr>
          <w:p w14:paraId="60FD33D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24EA522">
        <w:tblPrEx>
          <w:tblCellMar>
            <w:top w:w="0" w:type="dxa"/>
            <w:left w:w="108" w:type="dxa"/>
            <w:bottom w:w="0" w:type="dxa"/>
            <w:right w:w="108" w:type="dxa"/>
          </w:tblCellMar>
        </w:tblPrEx>
        <w:trPr>
          <w:trHeight w:val="31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3ED71C7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71" w:type="dxa"/>
            <w:tcBorders>
              <w:top w:val="single" w:color="auto" w:sz="4" w:space="0"/>
              <w:left w:val="single" w:color="auto" w:sz="4" w:space="0"/>
              <w:bottom w:val="single" w:color="auto" w:sz="4" w:space="0"/>
              <w:right w:val="single" w:color="auto" w:sz="4" w:space="0"/>
            </w:tcBorders>
            <w:vAlign w:val="center"/>
          </w:tcPr>
          <w:p w14:paraId="0DAC727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教学楼</w:t>
            </w:r>
          </w:p>
        </w:tc>
        <w:tc>
          <w:tcPr>
            <w:tcW w:w="1918" w:type="dxa"/>
            <w:tcBorders>
              <w:top w:val="single" w:color="auto" w:sz="4" w:space="0"/>
              <w:left w:val="single" w:color="auto" w:sz="4" w:space="0"/>
              <w:bottom w:val="single" w:color="auto" w:sz="4" w:space="0"/>
              <w:right w:val="single" w:color="auto" w:sz="4" w:space="0"/>
            </w:tcBorders>
            <w:vAlign w:val="center"/>
          </w:tcPr>
          <w:p w14:paraId="245178E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实习办公</w:t>
            </w:r>
          </w:p>
        </w:tc>
        <w:tc>
          <w:tcPr>
            <w:tcW w:w="1704" w:type="dxa"/>
            <w:tcBorders>
              <w:top w:val="single" w:color="auto" w:sz="4" w:space="0"/>
              <w:left w:val="single" w:color="auto" w:sz="4" w:space="0"/>
              <w:bottom w:val="single" w:color="auto" w:sz="4" w:space="0"/>
              <w:right w:val="single" w:color="auto" w:sz="4" w:space="0"/>
            </w:tcBorders>
            <w:vAlign w:val="center"/>
          </w:tcPr>
          <w:p w14:paraId="2F5B29C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1005.2</w:t>
            </w:r>
          </w:p>
        </w:tc>
        <w:tc>
          <w:tcPr>
            <w:tcW w:w="1726" w:type="dxa"/>
            <w:tcBorders>
              <w:top w:val="single" w:color="auto" w:sz="4" w:space="0"/>
              <w:left w:val="single" w:color="auto" w:sz="4" w:space="0"/>
              <w:bottom w:val="single" w:color="auto" w:sz="4" w:space="0"/>
              <w:right w:val="single" w:color="auto" w:sz="4" w:space="0"/>
            </w:tcBorders>
            <w:vAlign w:val="center"/>
          </w:tcPr>
          <w:p w14:paraId="3E28D8C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82" w:type="dxa"/>
            <w:vMerge w:val="restart"/>
            <w:tcBorders>
              <w:top w:val="single" w:color="auto" w:sz="4" w:space="0"/>
              <w:left w:val="single" w:color="auto" w:sz="4" w:space="0"/>
              <w:right w:val="single" w:color="auto" w:sz="4" w:space="0"/>
            </w:tcBorders>
            <w:vAlign w:val="center"/>
          </w:tcPr>
          <w:p w14:paraId="4812FA1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所有建筑需包含地下室区域，对外经营商业区。</w:t>
            </w:r>
          </w:p>
        </w:tc>
      </w:tr>
      <w:tr w14:paraId="3A4E11EA">
        <w:tblPrEx>
          <w:tblCellMar>
            <w:top w:w="0" w:type="dxa"/>
            <w:left w:w="108" w:type="dxa"/>
            <w:bottom w:w="0" w:type="dxa"/>
            <w:right w:w="108" w:type="dxa"/>
          </w:tblCellMar>
        </w:tblPrEx>
        <w:trPr>
          <w:trHeight w:val="31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32A5BC4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71" w:type="dxa"/>
            <w:tcBorders>
              <w:top w:val="single" w:color="auto" w:sz="4" w:space="0"/>
              <w:left w:val="single" w:color="auto" w:sz="4" w:space="0"/>
              <w:bottom w:val="single" w:color="auto" w:sz="4" w:space="0"/>
              <w:right w:val="single" w:color="auto" w:sz="4" w:space="0"/>
            </w:tcBorders>
            <w:vAlign w:val="center"/>
          </w:tcPr>
          <w:p w14:paraId="000F78F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实习学生宿舍</w:t>
            </w:r>
          </w:p>
        </w:tc>
        <w:tc>
          <w:tcPr>
            <w:tcW w:w="1918" w:type="dxa"/>
            <w:tcBorders>
              <w:top w:val="single" w:color="auto" w:sz="4" w:space="0"/>
              <w:left w:val="single" w:color="auto" w:sz="4" w:space="0"/>
              <w:bottom w:val="single" w:color="auto" w:sz="4" w:space="0"/>
              <w:right w:val="single" w:color="auto" w:sz="4" w:space="0"/>
            </w:tcBorders>
            <w:vAlign w:val="center"/>
          </w:tcPr>
          <w:p w14:paraId="48C3FE0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学生宿舍</w:t>
            </w:r>
          </w:p>
        </w:tc>
        <w:tc>
          <w:tcPr>
            <w:tcW w:w="1704" w:type="dxa"/>
            <w:tcBorders>
              <w:top w:val="single" w:color="auto" w:sz="4" w:space="0"/>
              <w:left w:val="single" w:color="auto" w:sz="4" w:space="0"/>
              <w:bottom w:val="single" w:color="auto" w:sz="4" w:space="0"/>
              <w:right w:val="single" w:color="auto" w:sz="4" w:space="0"/>
            </w:tcBorders>
            <w:vAlign w:val="center"/>
          </w:tcPr>
          <w:p w14:paraId="3409ED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2224.7</w:t>
            </w:r>
          </w:p>
        </w:tc>
        <w:tc>
          <w:tcPr>
            <w:tcW w:w="1726" w:type="dxa"/>
            <w:tcBorders>
              <w:top w:val="single" w:color="auto" w:sz="4" w:space="0"/>
              <w:left w:val="single" w:color="auto" w:sz="4" w:space="0"/>
              <w:bottom w:val="single" w:color="auto" w:sz="4" w:space="0"/>
              <w:right w:val="single" w:color="auto" w:sz="4" w:space="0"/>
            </w:tcBorders>
            <w:vAlign w:val="center"/>
          </w:tcPr>
          <w:p w14:paraId="343EE37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82" w:type="dxa"/>
            <w:vMerge w:val="continue"/>
            <w:tcBorders>
              <w:left w:val="single" w:color="auto" w:sz="4" w:space="0"/>
              <w:right w:val="single" w:color="auto" w:sz="4" w:space="0"/>
            </w:tcBorders>
            <w:vAlign w:val="center"/>
          </w:tcPr>
          <w:p w14:paraId="388E5873">
            <w:pPr>
              <w:rPr>
                <w:rFonts w:hint="eastAsia" w:ascii="宋体" w:hAnsi="宋体" w:eastAsia="宋体" w:cs="宋体"/>
                <w:color w:val="auto"/>
                <w:sz w:val="21"/>
                <w:szCs w:val="21"/>
                <w:highlight w:val="none"/>
              </w:rPr>
            </w:pPr>
          </w:p>
        </w:tc>
      </w:tr>
      <w:tr w14:paraId="6A337403">
        <w:tblPrEx>
          <w:tblCellMar>
            <w:top w:w="0" w:type="dxa"/>
            <w:left w:w="108" w:type="dxa"/>
            <w:bottom w:w="0" w:type="dxa"/>
            <w:right w:w="108" w:type="dxa"/>
          </w:tblCellMar>
        </w:tblPrEx>
        <w:trPr>
          <w:trHeight w:val="307"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40C3DD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71" w:type="dxa"/>
            <w:tcBorders>
              <w:top w:val="single" w:color="auto" w:sz="4" w:space="0"/>
              <w:left w:val="single" w:color="auto" w:sz="4" w:space="0"/>
              <w:bottom w:val="single" w:color="auto" w:sz="4" w:space="0"/>
              <w:right w:val="single" w:color="auto" w:sz="4" w:space="0"/>
            </w:tcBorders>
            <w:vAlign w:val="center"/>
          </w:tcPr>
          <w:p w14:paraId="34B7B5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公厕</w:t>
            </w:r>
          </w:p>
        </w:tc>
        <w:tc>
          <w:tcPr>
            <w:tcW w:w="1918" w:type="dxa"/>
            <w:tcBorders>
              <w:top w:val="single" w:color="auto" w:sz="4" w:space="0"/>
              <w:left w:val="single" w:color="auto" w:sz="4" w:space="0"/>
              <w:bottom w:val="single" w:color="auto" w:sz="4" w:space="0"/>
              <w:right w:val="single" w:color="auto" w:sz="4" w:space="0"/>
            </w:tcBorders>
            <w:vAlign w:val="center"/>
          </w:tcPr>
          <w:p w14:paraId="5CCCE51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w:t>
            </w:r>
          </w:p>
        </w:tc>
        <w:tc>
          <w:tcPr>
            <w:tcW w:w="1704" w:type="dxa"/>
            <w:tcBorders>
              <w:top w:val="single" w:color="auto" w:sz="4" w:space="0"/>
              <w:left w:val="single" w:color="auto" w:sz="4" w:space="0"/>
              <w:bottom w:val="single" w:color="auto" w:sz="4" w:space="0"/>
              <w:right w:val="single" w:color="auto" w:sz="4" w:space="0"/>
            </w:tcBorders>
            <w:vAlign w:val="center"/>
          </w:tcPr>
          <w:p w14:paraId="02E92DD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98.26</w:t>
            </w:r>
          </w:p>
        </w:tc>
        <w:tc>
          <w:tcPr>
            <w:tcW w:w="1726" w:type="dxa"/>
            <w:tcBorders>
              <w:top w:val="single" w:color="auto" w:sz="4" w:space="0"/>
              <w:left w:val="single" w:color="auto" w:sz="4" w:space="0"/>
              <w:bottom w:val="single" w:color="auto" w:sz="4" w:space="0"/>
              <w:right w:val="single" w:color="auto" w:sz="4" w:space="0"/>
            </w:tcBorders>
            <w:vAlign w:val="center"/>
          </w:tcPr>
          <w:p w14:paraId="3B104E2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82" w:type="dxa"/>
            <w:vMerge w:val="continue"/>
            <w:tcBorders>
              <w:left w:val="single" w:color="auto" w:sz="4" w:space="0"/>
              <w:right w:val="single" w:color="auto" w:sz="4" w:space="0"/>
            </w:tcBorders>
            <w:vAlign w:val="center"/>
          </w:tcPr>
          <w:p w14:paraId="08101868">
            <w:pPr>
              <w:rPr>
                <w:rFonts w:hint="eastAsia" w:ascii="宋体" w:hAnsi="宋体" w:eastAsia="宋体" w:cs="宋体"/>
                <w:color w:val="auto"/>
                <w:sz w:val="21"/>
                <w:szCs w:val="21"/>
                <w:highlight w:val="none"/>
              </w:rPr>
            </w:pPr>
          </w:p>
        </w:tc>
      </w:tr>
      <w:tr w14:paraId="6E5886E3">
        <w:tblPrEx>
          <w:tblCellMar>
            <w:top w:w="0" w:type="dxa"/>
            <w:left w:w="108" w:type="dxa"/>
            <w:bottom w:w="0" w:type="dxa"/>
            <w:right w:w="108" w:type="dxa"/>
          </w:tblCellMar>
        </w:tblPrEx>
        <w:trPr>
          <w:trHeight w:val="31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476203C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589" w:type="dxa"/>
            <w:gridSpan w:val="2"/>
            <w:tcBorders>
              <w:top w:val="single" w:color="auto" w:sz="4" w:space="0"/>
              <w:left w:val="single" w:color="auto" w:sz="4" w:space="0"/>
              <w:bottom w:val="single" w:color="auto" w:sz="4" w:space="0"/>
              <w:right w:val="single" w:color="auto" w:sz="4" w:space="0"/>
            </w:tcBorders>
            <w:vAlign w:val="center"/>
          </w:tcPr>
          <w:p w14:paraId="2689B6E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供水供电管理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阀门井、水表井设施</w:t>
            </w:r>
          </w:p>
        </w:tc>
        <w:tc>
          <w:tcPr>
            <w:tcW w:w="1704" w:type="dxa"/>
            <w:tcBorders>
              <w:top w:val="single" w:color="auto" w:sz="4" w:space="0"/>
              <w:left w:val="single" w:color="auto" w:sz="4" w:space="0"/>
              <w:bottom w:val="single" w:color="auto" w:sz="4" w:space="0"/>
              <w:right w:val="single" w:color="auto" w:sz="4" w:space="0"/>
            </w:tcBorders>
            <w:vAlign w:val="center"/>
          </w:tcPr>
          <w:p w14:paraId="12C71C3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26" w:type="dxa"/>
            <w:tcBorders>
              <w:top w:val="single" w:color="auto" w:sz="4" w:space="0"/>
              <w:left w:val="single" w:color="auto" w:sz="4" w:space="0"/>
              <w:bottom w:val="single" w:color="auto" w:sz="4" w:space="0"/>
              <w:right w:val="single" w:color="auto" w:sz="4" w:space="0"/>
            </w:tcBorders>
            <w:vAlign w:val="center"/>
          </w:tcPr>
          <w:p w14:paraId="3DFDB56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82" w:type="dxa"/>
            <w:vMerge w:val="continue"/>
            <w:tcBorders>
              <w:left w:val="single" w:color="auto" w:sz="4" w:space="0"/>
              <w:right w:val="single" w:color="auto" w:sz="4" w:space="0"/>
            </w:tcBorders>
            <w:vAlign w:val="center"/>
          </w:tcPr>
          <w:p w14:paraId="0DFB3465">
            <w:pPr>
              <w:rPr>
                <w:rFonts w:hint="eastAsia" w:ascii="宋体" w:hAnsi="宋体" w:eastAsia="宋体" w:cs="宋体"/>
                <w:color w:val="auto"/>
                <w:sz w:val="21"/>
                <w:szCs w:val="21"/>
                <w:highlight w:val="none"/>
              </w:rPr>
            </w:pPr>
          </w:p>
        </w:tc>
      </w:tr>
      <w:tr w14:paraId="7C40CB21">
        <w:tblPrEx>
          <w:tblCellMar>
            <w:top w:w="0" w:type="dxa"/>
            <w:left w:w="108" w:type="dxa"/>
            <w:bottom w:w="0" w:type="dxa"/>
            <w:right w:w="108" w:type="dxa"/>
          </w:tblCellMar>
        </w:tblPrEx>
        <w:trPr>
          <w:trHeight w:val="307"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1910541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589" w:type="dxa"/>
            <w:gridSpan w:val="2"/>
            <w:tcBorders>
              <w:top w:val="single" w:color="auto" w:sz="4" w:space="0"/>
              <w:left w:val="single" w:color="auto" w:sz="4" w:space="0"/>
              <w:bottom w:val="single" w:color="auto" w:sz="4" w:space="0"/>
              <w:right w:val="single" w:color="auto" w:sz="4" w:space="0"/>
            </w:tcBorders>
            <w:vAlign w:val="center"/>
          </w:tcPr>
          <w:p w14:paraId="3CAC926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室外路灯、水电维修</w:t>
            </w:r>
          </w:p>
        </w:tc>
        <w:tc>
          <w:tcPr>
            <w:tcW w:w="1704" w:type="dxa"/>
            <w:tcBorders>
              <w:top w:val="single" w:color="auto" w:sz="4" w:space="0"/>
              <w:left w:val="single" w:color="auto" w:sz="4" w:space="0"/>
              <w:bottom w:val="single" w:color="auto" w:sz="4" w:space="0"/>
              <w:right w:val="single" w:color="auto" w:sz="4" w:space="0"/>
            </w:tcBorders>
            <w:vAlign w:val="center"/>
          </w:tcPr>
          <w:p w14:paraId="25D4D9B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26" w:type="dxa"/>
            <w:tcBorders>
              <w:top w:val="single" w:color="auto" w:sz="4" w:space="0"/>
              <w:left w:val="single" w:color="auto" w:sz="4" w:space="0"/>
              <w:bottom w:val="single" w:color="auto" w:sz="4" w:space="0"/>
              <w:right w:val="single" w:color="auto" w:sz="4" w:space="0"/>
            </w:tcBorders>
            <w:vAlign w:val="center"/>
          </w:tcPr>
          <w:p w14:paraId="35C9375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82" w:type="dxa"/>
            <w:vMerge w:val="continue"/>
            <w:tcBorders>
              <w:left w:val="single" w:color="auto" w:sz="4" w:space="0"/>
              <w:right w:val="single" w:color="auto" w:sz="4" w:space="0"/>
            </w:tcBorders>
            <w:vAlign w:val="center"/>
          </w:tcPr>
          <w:p w14:paraId="31AD708B">
            <w:pPr>
              <w:rPr>
                <w:rFonts w:hint="eastAsia" w:ascii="宋体" w:hAnsi="宋体" w:eastAsia="宋体" w:cs="宋体"/>
                <w:color w:val="auto"/>
                <w:sz w:val="21"/>
                <w:szCs w:val="21"/>
                <w:highlight w:val="none"/>
              </w:rPr>
            </w:pPr>
          </w:p>
        </w:tc>
      </w:tr>
      <w:tr w14:paraId="51D704C3">
        <w:tblPrEx>
          <w:tblCellMar>
            <w:top w:w="0" w:type="dxa"/>
            <w:left w:w="108" w:type="dxa"/>
            <w:bottom w:w="0" w:type="dxa"/>
            <w:right w:w="108" w:type="dxa"/>
          </w:tblCellMar>
        </w:tblPrEx>
        <w:trPr>
          <w:trHeight w:val="359" w:hRule="atLeast"/>
          <w:jc w:val="center"/>
        </w:trPr>
        <w:tc>
          <w:tcPr>
            <w:tcW w:w="617" w:type="dxa"/>
            <w:tcBorders>
              <w:top w:val="single" w:color="auto" w:sz="4" w:space="0"/>
              <w:left w:val="single" w:color="auto" w:sz="4" w:space="0"/>
              <w:bottom w:val="single" w:color="auto" w:sz="4" w:space="0"/>
              <w:right w:val="single" w:color="auto" w:sz="4" w:space="0"/>
            </w:tcBorders>
            <w:noWrap/>
            <w:vAlign w:val="bottom"/>
          </w:tcPr>
          <w:p w14:paraId="65ADE81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3589" w:type="dxa"/>
            <w:gridSpan w:val="2"/>
            <w:tcBorders>
              <w:top w:val="single" w:color="auto" w:sz="4" w:space="0"/>
              <w:left w:val="single" w:color="auto" w:sz="4" w:space="0"/>
              <w:bottom w:val="single" w:color="auto" w:sz="4" w:space="0"/>
              <w:right w:val="single" w:color="auto" w:sz="4" w:space="0"/>
            </w:tcBorders>
            <w:noWrap/>
            <w:vAlign w:val="bottom"/>
          </w:tcPr>
          <w:p w14:paraId="5BD4BCD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704" w:type="dxa"/>
            <w:tcBorders>
              <w:top w:val="single" w:color="auto" w:sz="4" w:space="0"/>
              <w:left w:val="single" w:color="auto" w:sz="4" w:space="0"/>
              <w:bottom w:val="single" w:color="auto" w:sz="4" w:space="0"/>
              <w:right w:val="single" w:color="auto" w:sz="4" w:space="0"/>
            </w:tcBorders>
            <w:noWrap/>
            <w:vAlign w:val="bottom"/>
          </w:tcPr>
          <w:p w14:paraId="76C32B7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3330.16</w:t>
            </w:r>
            <w:r>
              <w:rPr>
                <w:rFonts w:hint="eastAsia" w:ascii="宋体" w:hAnsi="宋体" w:eastAsia="宋体" w:cs="宋体"/>
                <w:color w:val="auto"/>
                <w:sz w:val="21"/>
                <w:szCs w:val="21"/>
                <w:highlight w:val="none"/>
              </w:rPr>
              <w:t xml:space="preserve"> </w:t>
            </w:r>
          </w:p>
        </w:tc>
        <w:tc>
          <w:tcPr>
            <w:tcW w:w="1726" w:type="dxa"/>
            <w:tcBorders>
              <w:top w:val="single" w:color="auto" w:sz="4" w:space="0"/>
              <w:left w:val="single" w:color="auto" w:sz="4" w:space="0"/>
              <w:bottom w:val="single" w:color="auto" w:sz="4" w:space="0"/>
              <w:right w:val="single" w:color="auto" w:sz="4" w:space="0"/>
            </w:tcBorders>
            <w:noWrap/>
            <w:vAlign w:val="bottom"/>
          </w:tcPr>
          <w:p w14:paraId="6646140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2182" w:type="dxa"/>
            <w:vMerge w:val="continue"/>
            <w:tcBorders>
              <w:left w:val="single" w:color="auto" w:sz="4" w:space="0"/>
              <w:bottom w:val="single" w:color="auto" w:sz="4" w:space="0"/>
              <w:right w:val="single" w:color="auto" w:sz="4" w:space="0"/>
            </w:tcBorders>
            <w:noWrap/>
            <w:vAlign w:val="bottom"/>
          </w:tcPr>
          <w:p w14:paraId="4F97B3B8">
            <w:pPr>
              <w:rPr>
                <w:rFonts w:hint="eastAsia" w:ascii="宋体" w:hAnsi="宋体" w:eastAsia="宋体" w:cs="宋体"/>
                <w:color w:val="auto"/>
                <w:sz w:val="21"/>
                <w:szCs w:val="21"/>
                <w:highlight w:val="none"/>
              </w:rPr>
            </w:pPr>
          </w:p>
        </w:tc>
      </w:tr>
    </w:tbl>
    <w:p w14:paraId="55AB08B0">
      <w:pPr>
        <w:pStyle w:val="3"/>
        <w:numPr>
          <w:ilvl w:val="0"/>
          <w:numId w:val="0"/>
        </w:numPr>
        <w:spacing w:before="240" w:line="222" w:lineRule="auto"/>
        <w:outlineLvl w:val="3"/>
        <w:rPr>
          <w:rFonts w:hint="eastAsia"/>
          <w:b w:val="0"/>
          <w:bCs w:val="0"/>
          <w:spacing w:val="16"/>
          <w:sz w:val="27"/>
          <w:szCs w:val="27"/>
        </w:rPr>
      </w:pPr>
    </w:p>
    <w:p w14:paraId="134AB60C">
      <w:pPr>
        <w:pStyle w:val="3"/>
        <w:spacing w:before="240" w:line="222" w:lineRule="auto"/>
        <w:ind w:left="998"/>
        <w:outlineLvl w:val="3"/>
        <w:rPr>
          <w:sz w:val="27"/>
          <w:szCs w:val="27"/>
        </w:rPr>
      </w:pPr>
      <w:r>
        <w:rPr>
          <w:b/>
          <w:bCs/>
          <w:spacing w:val="16"/>
          <w:sz w:val="27"/>
          <w:szCs w:val="27"/>
        </w:rPr>
        <w:t>第二条</w:t>
      </w:r>
      <w:r>
        <w:rPr>
          <w:rFonts w:hint="eastAsia"/>
          <w:b/>
          <w:bCs/>
          <w:spacing w:val="16"/>
          <w:sz w:val="27"/>
          <w:szCs w:val="27"/>
          <w:lang w:val="en-US" w:eastAsia="zh-CN"/>
        </w:rPr>
        <w:t xml:space="preserve"> </w:t>
      </w:r>
      <w:r>
        <w:rPr>
          <w:b/>
          <w:bCs/>
          <w:spacing w:val="16"/>
          <w:sz w:val="27"/>
          <w:szCs w:val="27"/>
        </w:rPr>
        <w:t>发包业务内容及要求</w:t>
      </w:r>
    </w:p>
    <w:p w14:paraId="3D337C78">
      <w:pPr>
        <w:pStyle w:val="3"/>
        <w:spacing w:before="226" w:line="221" w:lineRule="auto"/>
        <w:ind w:left="995"/>
        <w:rPr>
          <w:sz w:val="27"/>
          <w:szCs w:val="27"/>
        </w:rPr>
      </w:pPr>
      <w:r>
        <w:rPr>
          <w:spacing w:val="8"/>
          <w:sz w:val="27"/>
          <w:szCs w:val="27"/>
        </w:rPr>
        <w:t>2.1【</w:t>
      </w:r>
      <w:r>
        <w:rPr>
          <w:rFonts w:hint="eastAsia"/>
          <w:spacing w:val="8"/>
          <w:sz w:val="27"/>
          <w:szCs w:val="27"/>
          <w:lang w:val="en-US" w:eastAsia="zh-CN"/>
        </w:rPr>
        <w:t>维修</w:t>
      </w:r>
      <w:r>
        <w:rPr>
          <w:spacing w:val="8"/>
          <w:sz w:val="27"/>
          <w:szCs w:val="27"/>
        </w:rPr>
        <w:t>服务】</w:t>
      </w:r>
    </w:p>
    <w:p w14:paraId="44EBA38F">
      <w:pPr>
        <w:pStyle w:val="3"/>
        <w:spacing w:before="249" w:line="222" w:lineRule="auto"/>
        <w:ind w:left="995"/>
        <w:rPr>
          <w:sz w:val="27"/>
          <w:szCs w:val="27"/>
        </w:rPr>
      </w:pPr>
      <w:r>
        <w:rPr>
          <w:spacing w:val="7"/>
          <w:sz w:val="27"/>
          <w:szCs w:val="27"/>
        </w:rPr>
        <w:t>2.2</w:t>
      </w:r>
      <w:r>
        <w:rPr>
          <w:rFonts w:hint="eastAsia"/>
          <w:spacing w:val="7"/>
          <w:sz w:val="27"/>
          <w:szCs w:val="27"/>
          <w:lang w:val="en-US" w:eastAsia="zh-CN"/>
        </w:rPr>
        <w:t xml:space="preserve"> </w:t>
      </w:r>
      <w:r>
        <w:rPr>
          <w:spacing w:val="7"/>
          <w:sz w:val="27"/>
          <w:szCs w:val="27"/>
        </w:rPr>
        <w:t>具体服务内容如下：</w:t>
      </w:r>
    </w:p>
    <w:p w14:paraId="48D64582">
      <w:pPr>
        <w:pStyle w:val="3"/>
        <w:spacing w:before="193" w:line="312" w:lineRule="auto"/>
        <w:ind w:left="515" w:right="469" w:firstLine="929"/>
        <w:rPr>
          <w:sz w:val="27"/>
          <w:szCs w:val="27"/>
          <w:highlight w:val="none"/>
        </w:rPr>
      </w:pPr>
      <w:r>
        <w:rPr>
          <w:spacing w:val="12"/>
          <w:sz w:val="27"/>
          <w:szCs w:val="27"/>
          <w:highlight w:val="none"/>
        </w:rPr>
        <w:t>2.2.1</w:t>
      </w:r>
      <w:r>
        <w:rPr>
          <w:rFonts w:hint="eastAsia"/>
          <w:spacing w:val="12"/>
          <w:sz w:val="27"/>
          <w:szCs w:val="27"/>
          <w:highlight w:val="none"/>
          <w:lang w:val="en-US" w:eastAsia="zh-CN"/>
        </w:rPr>
        <w:t xml:space="preserve"> </w:t>
      </w:r>
      <w:r>
        <w:rPr>
          <w:rFonts w:hint="eastAsia"/>
          <w:spacing w:val="12"/>
          <w:sz w:val="27"/>
          <w:szCs w:val="27"/>
          <w:highlight w:val="none"/>
        </w:rPr>
        <w:t>云南国土资源职业学院三校区水电维修服务</w:t>
      </w:r>
      <w:r>
        <w:rPr>
          <w:spacing w:val="12"/>
          <w:sz w:val="27"/>
          <w:szCs w:val="27"/>
          <w:highlight w:val="none"/>
        </w:rPr>
        <w:t>，</w:t>
      </w:r>
      <w:r>
        <w:rPr>
          <w:rFonts w:hint="eastAsia"/>
          <w:spacing w:val="12"/>
          <w:sz w:val="27"/>
          <w:szCs w:val="27"/>
          <w:highlight w:val="none"/>
        </w:rPr>
        <w:t>内容包含楼宇本身（含公共部分的所有房间）及其附属设施的日常养护、维修更换；包含三校区二次供水管理，配合校内水电相关项目实施供水供电服务</w:t>
      </w:r>
      <w:r>
        <w:rPr>
          <w:spacing w:val="16"/>
          <w:sz w:val="27"/>
          <w:szCs w:val="27"/>
          <w:highlight w:val="none"/>
        </w:rPr>
        <w:t>；</w:t>
      </w:r>
    </w:p>
    <w:p w14:paraId="10E526B6">
      <w:pPr>
        <w:pStyle w:val="3"/>
        <w:spacing w:before="237" w:line="220" w:lineRule="auto"/>
        <w:ind w:left="1455"/>
        <w:rPr>
          <w:sz w:val="27"/>
          <w:szCs w:val="27"/>
        </w:rPr>
      </w:pPr>
      <w:r>
        <w:rPr>
          <w:spacing w:val="10"/>
          <w:sz w:val="27"/>
          <w:szCs w:val="27"/>
        </w:rPr>
        <w:t>2.2.2甲方所要求的其它</w:t>
      </w:r>
      <w:r>
        <w:rPr>
          <w:rFonts w:hint="eastAsia"/>
          <w:spacing w:val="10"/>
          <w:sz w:val="27"/>
          <w:szCs w:val="27"/>
          <w:lang w:val="en-US" w:eastAsia="zh-CN"/>
        </w:rPr>
        <w:t>维修</w:t>
      </w:r>
      <w:r>
        <w:rPr>
          <w:spacing w:val="10"/>
          <w:sz w:val="27"/>
          <w:szCs w:val="27"/>
        </w:rPr>
        <w:t>及服务工作。</w:t>
      </w:r>
    </w:p>
    <w:p w14:paraId="75C61A6F">
      <w:pPr>
        <w:pStyle w:val="3"/>
        <w:spacing w:before="217" w:line="222" w:lineRule="auto"/>
        <w:ind w:left="998"/>
        <w:outlineLvl w:val="3"/>
        <w:rPr>
          <w:sz w:val="27"/>
          <w:szCs w:val="27"/>
        </w:rPr>
      </w:pPr>
      <w:r>
        <w:rPr>
          <w:b/>
          <w:bCs/>
          <w:spacing w:val="24"/>
          <w:sz w:val="27"/>
          <w:szCs w:val="27"/>
        </w:rPr>
        <w:t>第三条合同期限</w:t>
      </w:r>
    </w:p>
    <w:p w14:paraId="03F430DF">
      <w:pPr>
        <w:pStyle w:val="3"/>
        <w:spacing w:before="250" w:line="371" w:lineRule="auto"/>
        <w:ind w:left="495" w:right="503" w:firstLine="500"/>
        <w:rPr>
          <w:sz w:val="27"/>
          <w:szCs w:val="27"/>
          <w:highlight w:val="none"/>
        </w:rPr>
      </w:pPr>
      <w:r>
        <w:rPr>
          <w:spacing w:val="-4"/>
          <w:sz w:val="27"/>
          <w:szCs w:val="27"/>
          <w:highlight w:val="none"/>
        </w:rPr>
        <w:t>3.1</w:t>
      </w:r>
      <w:r>
        <w:rPr>
          <w:spacing w:val="66"/>
          <w:sz w:val="27"/>
          <w:szCs w:val="27"/>
          <w:highlight w:val="none"/>
        </w:rPr>
        <w:t xml:space="preserve"> </w:t>
      </w:r>
      <w:r>
        <w:rPr>
          <w:spacing w:val="-4"/>
          <w:sz w:val="27"/>
          <w:szCs w:val="27"/>
          <w:highlight w:val="none"/>
        </w:rPr>
        <w:t>自【</w:t>
      </w:r>
      <w:r>
        <w:rPr>
          <w:rFonts w:hint="eastAsia"/>
          <w:spacing w:val="-4"/>
          <w:sz w:val="27"/>
          <w:szCs w:val="27"/>
          <w:highlight w:val="none"/>
          <w:lang w:val="en-US" w:eastAsia="zh-CN"/>
        </w:rPr>
        <w:t xml:space="preserve"> 2025 </w:t>
      </w:r>
      <w:r>
        <w:rPr>
          <w:spacing w:val="-4"/>
          <w:sz w:val="27"/>
          <w:szCs w:val="27"/>
          <w:highlight w:val="none"/>
        </w:rPr>
        <w:t>】年【</w:t>
      </w:r>
      <w:r>
        <w:rPr>
          <w:rFonts w:hint="eastAsia"/>
          <w:spacing w:val="-4"/>
          <w:sz w:val="27"/>
          <w:szCs w:val="27"/>
          <w:highlight w:val="none"/>
          <w:lang w:val="en-US" w:eastAsia="zh-CN"/>
        </w:rPr>
        <w:t xml:space="preserve"> </w:t>
      </w:r>
      <w:r>
        <w:rPr>
          <w:rFonts w:hint="eastAsia"/>
          <w:spacing w:val="30"/>
          <w:sz w:val="27"/>
          <w:szCs w:val="27"/>
          <w:highlight w:val="none"/>
          <w:lang w:val="en-US" w:eastAsia="zh-CN"/>
        </w:rPr>
        <w:t xml:space="preserve">9 </w:t>
      </w:r>
      <w:r>
        <w:rPr>
          <w:spacing w:val="23"/>
          <w:sz w:val="27"/>
          <w:szCs w:val="27"/>
          <w:highlight w:val="none"/>
        </w:rPr>
        <w:t>】月【</w:t>
      </w:r>
      <w:r>
        <w:rPr>
          <w:rFonts w:hint="eastAsia"/>
          <w:spacing w:val="23"/>
          <w:sz w:val="27"/>
          <w:szCs w:val="27"/>
          <w:highlight w:val="none"/>
          <w:lang w:val="en-US" w:eastAsia="zh-CN"/>
        </w:rPr>
        <w:t xml:space="preserve"> 5 </w:t>
      </w:r>
      <w:r>
        <w:rPr>
          <w:spacing w:val="23"/>
          <w:sz w:val="27"/>
          <w:szCs w:val="27"/>
          <w:highlight w:val="none"/>
        </w:rPr>
        <w:t>】日至【</w:t>
      </w:r>
      <w:r>
        <w:rPr>
          <w:rFonts w:hint="eastAsia"/>
          <w:spacing w:val="23"/>
          <w:sz w:val="27"/>
          <w:szCs w:val="27"/>
          <w:highlight w:val="none"/>
          <w:lang w:val="en-US" w:eastAsia="zh-CN"/>
        </w:rPr>
        <w:t xml:space="preserve"> </w:t>
      </w:r>
      <w:r>
        <w:rPr>
          <w:spacing w:val="23"/>
          <w:sz w:val="27"/>
          <w:szCs w:val="27"/>
          <w:highlight w:val="none"/>
        </w:rPr>
        <w:t>202</w:t>
      </w:r>
      <w:r>
        <w:rPr>
          <w:rFonts w:hint="eastAsia"/>
          <w:spacing w:val="23"/>
          <w:sz w:val="27"/>
          <w:szCs w:val="27"/>
          <w:highlight w:val="none"/>
          <w:lang w:val="en-US" w:eastAsia="zh-CN"/>
        </w:rPr>
        <w:t xml:space="preserve">6 </w:t>
      </w:r>
      <w:r>
        <w:rPr>
          <w:spacing w:val="23"/>
          <w:sz w:val="27"/>
          <w:szCs w:val="27"/>
          <w:highlight w:val="none"/>
        </w:rPr>
        <w:t>】</w:t>
      </w:r>
      <w:r>
        <w:rPr>
          <w:spacing w:val="-37"/>
          <w:sz w:val="27"/>
          <w:szCs w:val="27"/>
          <w:highlight w:val="none"/>
        </w:rPr>
        <w:t xml:space="preserve"> </w:t>
      </w:r>
      <w:r>
        <w:rPr>
          <w:spacing w:val="23"/>
          <w:sz w:val="27"/>
          <w:szCs w:val="27"/>
          <w:highlight w:val="none"/>
        </w:rPr>
        <w:t>年</w:t>
      </w:r>
      <w:r>
        <w:rPr>
          <w:spacing w:val="-60"/>
          <w:sz w:val="27"/>
          <w:szCs w:val="27"/>
          <w:highlight w:val="none"/>
        </w:rPr>
        <w:t xml:space="preserve"> </w:t>
      </w:r>
      <w:r>
        <w:rPr>
          <w:spacing w:val="22"/>
          <w:sz w:val="27"/>
          <w:szCs w:val="27"/>
          <w:highlight w:val="none"/>
        </w:rPr>
        <w:t>【</w:t>
      </w:r>
      <w:r>
        <w:rPr>
          <w:rFonts w:hint="eastAsia"/>
          <w:spacing w:val="22"/>
          <w:sz w:val="27"/>
          <w:szCs w:val="27"/>
          <w:highlight w:val="none"/>
          <w:lang w:val="en-US" w:eastAsia="zh-CN"/>
        </w:rPr>
        <w:t xml:space="preserve"> 9</w:t>
      </w:r>
      <w:r>
        <w:rPr>
          <w:spacing w:val="-24"/>
          <w:sz w:val="27"/>
          <w:szCs w:val="27"/>
          <w:highlight w:val="none"/>
        </w:rPr>
        <w:t xml:space="preserve"> </w:t>
      </w:r>
      <w:r>
        <w:rPr>
          <w:spacing w:val="22"/>
          <w:sz w:val="27"/>
          <w:szCs w:val="27"/>
          <w:highlight w:val="none"/>
        </w:rPr>
        <w:t>】</w:t>
      </w:r>
      <w:r>
        <w:rPr>
          <w:sz w:val="27"/>
          <w:szCs w:val="27"/>
          <w:highlight w:val="none"/>
        </w:rPr>
        <w:t xml:space="preserve"> </w:t>
      </w:r>
      <w:r>
        <w:rPr>
          <w:spacing w:val="-4"/>
          <w:sz w:val="27"/>
          <w:szCs w:val="27"/>
          <w:highlight w:val="none"/>
        </w:rPr>
        <w:t>月【</w:t>
      </w:r>
      <w:r>
        <w:rPr>
          <w:rFonts w:hint="eastAsia"/>
          <w:spacing w:val="-4"/>
          <w:sz w:val="27"/>
          <w:szCs w:val="27"/>
          <w:highlight w:val="none"/>
          <w:lang w:val="en-US" w:eastAsia="zh-CN"/>
        </w:rPr>
        <w:t xml:space="preserve"> 4 </w:t>
      </w:r>
      <w:r>
        <w:rPr>
          <w:spacing w:val="-4"/>
          <w:sz w:val="27"/>
          <w:szCs w:val="27"/>
          <w:highlight w:val="none"/>
        </w:rPr>
        <w:t>】日止。</w:t>
      </w:r>
    </w:p>
    <w:p w14:paraId="1F59A9E3">
      <w:pPr>
        <w:pStyle w:val="3"/>
        <w:spacing w:before="217" w:line="222" w:lineRule="auto"/>
        <w:ind w:left="998"/>
        <w:outlineLvl w:val="3"/>
        <w:rPr>
          <w:rFonts w:hint="eastAsia" w:eastAsia="仿宋"/>
          <w:b/>
          <w:bCs/>
          <w:spacing w:val="24"/>
          <w:sz w:val="27"/>
          <w:szCs w:val="27"/>
          <w:lang w:val="en-US" w:eastAsia="zh-CN"/>
        </w:rPr>
      </w:pPr>
      <w:r>
        <w:rPr>
          <w:b/>
          <w:bCs/>
          <w:spacing w:val="24"/>
          <w:sz w:val="27"/>
          <w:szCs w:val="27"/>
        </w:rPr>
        <w:t>第四条</w:t>
      </w:r>
      <w:r>
        <w:rPr>
          <w:rFonts w:hint="eastAsia"/>
          <w:b/>
          <w:bCs/>
          <w:spacing w:val="24"/>
          <w:sz w:val="27"/>
          <w:szCs w:val="27"/>
          <w:lang w:val="en-US" w:eastAsia="zh-CN"/>
        </w:rPr>
        <w:t xml:space="preserve"> </w:t>
      </w:r>
      <w:r>
        <w:rPr>
          <w:b/>
          <w:bCs/>
          <w:spacing w:val="24"/>
          <w:sz w:val="27"/>
          <w:szCs w:val="27"/>
        </w:rPr>
        <w:t>合同费</w:t>
      </w:r>
      <w:r>
        <w:rPr>
          <w:rFonts w:hint="eastAsia"/>
          <w:b/>
          <w:bCs/>
          <w:spacing w:val="24"/>
          <w:sz w:val="27"/>
          <w:szCs w:val="27"/>
          <w:lang w:val="en-US" w:eastAsia="zh-CN"/>
        </w:rPr>
        <w:t>用</w:t>
      </w:r>
    </w:p>
    <w:p w14:paraId="17B21F00">
      <w:pPr>
        <w:pStyle w:val="3"/>
        <w:spacing w:before="250" w:line="371" w:lineRule="auto"/>
        <w:ind w:left="495" w:right="503" w:firstLine="500"/>
        <w:rPr>
          <w:spacing w:val="-4"/>
          <w:sz w:val="27"/>
          <w:szCs w:val="27"/>
          <w:highlight w:val="none"/>
        </w:rPr>
      </w:pPr>
      <w:r>
        <w:rPr>
          <w:spacing w:val="-4"/>
          <w:sz w:val="27"/>
          <w:szCs w:val="27"/>
          <w:highlight w:val="none"/>
        </w:rPr>
        <w:t>4.1 乙方在规定的合同期限内，完成甲方发包给乙方的工作，经校方、 甲方验收合格后，向乙方支付服务费用。</w:t>
      </w:r>
    </w:p>
    <w:p w14:paraId="59006F15">
      <w:pPr>
        <w:pStyle w:val="3"/>
        <w:spacing w:before="250" w:line="371" w:lineRule="auto"/>
        <w:ind w:left="495" w:right="503" w:firstLine="500"/>
        <w:rPr>
          <w:spacing w:val="-4"/>
          <w:sz w:val="27"/>
          <w:szCs w:val="27"/>
          <w:highlight w:val="none"/>
        </w:rPr>
      </w:pPr>
      <w:r>
        <w:rPr>
          <w:spacing w:val="-4"/>
          <w:sz w:val="27"/>
          <w:szCs w:val="27"/>
          <w:highlight w:val="none"/>
        </w:rPr>
        <w:t>4.2 服务费用的支付原则遵循</w:t>
      </w:r>
      <w:r>
        <w:rPr>
          <w:rFonts w:hint="eastAsia"/>
          <w:spacing w:val="-4"/>
          <w:sz w:val="27"/>
          <w:szCs w:val="27"/>
          <w:highlight w:val="none"/>
          <w:lang w:val="en-US" w:eastAsia="zh-CN"/>
        </w:rPr>
        <w:t>云南国土资源职业学院</w:t>
      </w:r>
      <w:r>
        <w:rPr>
          <w:spacing w:val="-4"/>
          <w:sz w:val="27"/>
          <w:szCs w:val="27"/>
          <w:highlight w:val="none"/>
        </w:rPr>
        <w:t>支付后一周内甲方向乙方支付</w:t>
      </w:r>
      <w:r>
        <w:rPr>
          <w:rFonts w:hint="eastAsia"/>
          <w:spacing w:val="-4"/>
          <w:sz w:val="27"/>
          <w:szCs w:val="27"/>
          <w:highlight w:val="none"/>
          <w:lang w:eastAsia="zh-CN"/>
        </w:rPr>
        <w:t>，</w:t>
      </w:r>
      <w:r>
        <w:rPr>
          <w:spacing w:val="-4"/>
          <w:sz w:val="27"/>
          <w:szCs w:val="27"/>
          <w:highlight w:val="none"/>
        </w:rPr>
        <w:t>具体金额按下表执行。</w:t>
      </w:r>
    </w:p>
    <w:p w14:paraId="6EA6EB8C">
      <w:pPr>
        <w:pStyle w:val="3"/>
        <w:spacing w:before="250" w:line="371" w:lineRule="auto"/>
        <w:ind w:left="495" w:right="503" w:firstLine="500"/>
        <w:rPr>
          <w:spacing w:val="-4"/>
          <w:sz w:val="27"/>
          <w:szCs w:val="27"/>
          <w:highlight w:val="none"/>
        </w:rPr>
        <w:sectPr>
          <w:headerReference r:id="rId7" w:type="default"/>
          <w:footerReference r:id="rId8" w:type="default"/>
          <w:pgSz w:w="11900" w:h="16820"/>
          <w:pgMar w:top="1140" w:right="951" w:bottom="1192" w:left="684" w:header="1120" w:footer="966" w:gutter="0"/>
          <w:pgNumType w:fmt="decimal"/>
          <w:cols w:space="720" w:num="1"/>
        </w:sectPr>
      </w:pPr>
    </w:p>
    <w:p w14:paraId="25AD457F">
      <w:pPr>
        <w:spacing w:line="351" w:lineRule="auto"/>
        <w:rPr>
          <w:rFonts w:ascii="Arial"/>
          <w:sz w:val="21"/>
        </w:rPr>
      </w:pPr>
    </w:p>
    <w:tbl>
      <w:tblPr>
        <w:tblStyle w:val="5"/>
        <w:tblpPr w:leftFromText="180" w:rightFromText="180" w:vertAnchor="text" w:horzAnchor="page" w:tblpX="1784" w:tblpY="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20"/>
        <w:gridCol w:w="1950"/>
        <w:gridCol w:w="1216"/>
        <w:gridCol w:w="1112"/>
        <w:gridCol w:w="2016"/>
      </w:tblGrid>
      <w:tr w14:paraId="3BC9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EDF51E">
            <w:pPr>
              <w:jc w:val="center"/>
              <w:rPr>
                <w:rFonts w:hint="eastAsia" w:ascii="微软雅黑" w:hAnsi="微软雅黑" w:eastAsia="微软雅黑" w:cs="微软雅黑"/>
                <w:i w:val="0"/>
                <w:iCs w:val="0"/>
                <w:color w:val="000000"/>
                <w:sz w:val="20"/>
                <w:szCs w:val="20"/>
                <w:u w:val="none"/>
              </w:rPr>
            </w:pP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9BB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中郦收入(开票收款)</w:t>
            </w:r>
          </w:p>
        </w:tc>
        <w:tc>
          <w:tcPr>
            <w:tcW w:w="232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CBCE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巨蓉应承担费用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6BF10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中郦向巨蓉支付金额</w:t>
            </w:r>
          </w:p>
        </w:tc>
      </w:tr>
      <w:tr w14:paraId="1812F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5F39F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收费周期</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67C28D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国土学院支付金额</w:t>
            </w:r>
          </w:p>
        </w:tc>
        <w:tc>
          <w:tcPr>
            <w:tcW w:w="1216" w:type="dxa"/>
            <w:tcBorders>
              <w:top w:val="nil"/>
              <w:left w:val="single" w:color="000000" w:sz="8" w:space="0"/>
              <w:bottom w:val="single" w:color="000000" w:sz="8" w:space="0"/>
              <w:right w:val="single" w:color="000000" w:sz="8" w:space="0"/>
            </w:tcBorders>
            <w:shd w:val="clear" w:color="auto" w:fill="auto"/>
            <w:vAlign w:val="center"/>
          </w:tcPr>
          <w:p w14:paraId="0BEAE2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附加税差额</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7262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管理费1%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9DD84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巨蓉开具6%专票</w:t>
            </w:r>
          </w:p>
        </w:tc>
      </w:tr>
      <w:tr w14:paraId="3CC9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4E44E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第1季度服务费</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（2025.9.5-2025.12.4）</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3D6867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232,950.00 </w:t>
            </w:r>
          </w:p>
        </w:tc>
        <w:tc>
          <w:tcPr>
            <w:tcW w:w="1216" w:type="dxa"/>
            <w:tcBorders>
              <w:top w:val="nil"/>
              <w:left w:val="single" w:color="000000" w:sz="8" w:space="0"/>
              <w:bottom w:val="single" w:color="000000" w:sz="8" w:space="0"/>
              <w:right w:val="single" w:color="000000" w:sz="8" w:space="0"/>
            </w:tcBorders>
            <w:shd w:val="clear" w:color="auto" w:fill="auto"/>
            <w:vAlign w:val="center"/>
          </w:tcPr>
          <w:p w14:paraId="24CE6D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1,582.30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C3D5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2,329.50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A16E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229,038.20 </w:t>
            </w:r>
          </w:p>
        </w:tc>
      </w:tr>
      <w:tr w14:paraId="7BA77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7B724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第2季度服务费</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（2025.12.5-2026.3.4）</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2EFE44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232,950.00 </w:t>
            </w:r>
          </w:p>
        </w:tc>
        <w:tc>
          <w:tcPr>
            <w:tcW w:w="1216" w:type="dxa"/>
            <w:tcBorders>
              <w:top w:val="nil"/>
              <w:left w:val="single" w:color="000000" w:sz="8" w:space="0"/>
              <w:bottom w:val="single" w:color="000000" w:sz="8" w:space="0"/>
              <w:right w:val="single" w:color="000000" w:sz="8" w:space="0"/>
            </w:tcBorders>
            <w:shd w:val="clear" w:color="auto" w:fill="auto"/>
            <w:vAlign w:val="center"/>
          </w:tcPr>
          <w:p w14:paraId="6947EC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1,582.30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5267E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2,329.50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19030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229,038.20 </w:t>
            </w:r>
          </w:p>
        </w:tc>
      </w:tr>
      <w:tr w14:paraId="189CC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AFF5E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第3季度服务费</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（2026.3.5-2026.6.4）</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556391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232,950.00 </w:t>
            </w:r>
          </w:p>
        </w:tc>
        <w:tc>
          <w:tcPr>
            <w:tcW w:w="1216" w:type="dxa"/>
            <w:tcBorders>
              <w:top w:val="nil"/>
              <w:left w:val="single" w:color="000000" w:sz="8" w:space="0"/>
              <w:bottom w:val="single" w:color="000000" w:sz="8" w:space="0"/>
              <w:right w:val="single" w:color="000000" w:sz="8" w:space="0"/>
            </w:tcBorders>
            <w:shd w:val="clear" w:color="auto" w:fill="auto"/>
            <w:vAlign w:val="center"/>
          </w:tcPr>
          <w:p w14:paraId="3F9CBD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1,582.30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0CA0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2,329.50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34D2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229,038.20 </w:t>
            </w:r>
          </w:p>
        </w:tc>
      </w:tr>
      <w:tr w14:paraId="2F7BA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AC561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第4季度服务费</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（2026.6.5-2026.9.4）</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4B319D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232,950.00 </w:t>
            </w:r>
          </w:p>
        </w:tc>
        <w:tc>
          <w:tcPr>
            <w:tcW w:w="1216" w:type="dxa"/>
            <w:tcBorders>
              <w:top w:val="nil"/>
              <w:left w:val="single" w:color="000000" w:sz="8" w:space="0"/>
              <w:bottom w:val="single" w:color="000000" w:sz="8" w:space="0"/>
              <w:right w:val="single" w:color="000000" w:sz="8" w:space="0"/>
            </w:tcBorders>
            <w:shd w:val="clear" w:color="auto" w:fill="auto"/>
            <w:vAlign w:val="center"/>
          </w:tcPr>
          <w:p w14:paraId="124A0C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1,582.30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D2B6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2,329.50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0DABE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229,038.20 </w:t>
            </w:r>
          </w:p>
        </w:tc>
      </w:tr>
      <w:tr w14:paraId="2AE2B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68ADE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合计一年金额</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5DE7B8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931,800.00 </w:t>
            </w:r>
          </w:p>
        </w:tc>
        <w:tc>
          <w:tcPr>
            <w:tcW w:w="1216" w:type="dxa"/>
            <w:tcBorders>
              <w:top w:val="nil"/>
              <w:left w:val="single" w:color="000000" w:sz="8" w:space="0"/>
              <w:bottom w:val="single" w:color="000000" w:sz="8" w:space="0"/>
              <w:right w:val="single" w:color="000000" w:sz="8" w:space="0"/>
            </w:tcBorders>
            <w:shd w:val="clear" w:color="auto" w:fill="auto"/>
            <w:vAlign w:val="center"/>
          </w:tcPr>
          <w:p w14:paraId="5E1DE4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6,329.20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392D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9,318.00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BB8C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916,152.80 </w:t>
            </w:r>
          </w:p>
        </w:tc>
      </w:tr>
      <w:tr w14:paraId="662BC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5"/>
            <w:tcBorders>
              <w:top w:val="nil"/>
              <w:left w:val="single" w:color="000000" w:sz="8" w:space="0"/>
              <w:bottom w:val="single" w:color="000000" w:sz="8" w:space="0"/>
              <w:right w:val="single" w:color="000000" w:sz="8" w:space="0"/>
            </w:tcBorders>
            <w:shd w:val="clear" w:color="auto" w:fill="auto"/>
            <w:vAlign w:val="center"/>
          </w:tcPr>
          <w:p w14:paraId="38284C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注：若校方扣款或其它任何原因减少支付，则中郦相应减少向巨蓉支付同等金额资金。</w:t>
            </w:r>
          </w:p>
        </w:tc>
      </w:tr>
    </w:tbl>
    <w:p w14:paraId="0E295B4C">
      <w:pPr>
        <w:spacing w:line="31" w:lineRule="exact"/>
      </w:pPr>
    </w:p>
    <w:p w14:paraId="196E6291">
      <w:pPr>
        <w:spacing w:line="420" w:lineRule="auto"/>
        <w:rPr>
          <w:rFonts w:ascii="Arial"/>
          <w:sz w:val="21"/>
        </w:rPr>
      </w:pPr>
    </w:p>
    <w:p w14:paraId="2597A30E">
      <w:pPr>
        <w:pStyle w:val="3"/>
        <w:spacing w:before="87" w:line="222" w:lineRule="auto"/>
        <w:ind w:left="553"/>
        <w:outlineLvl w:val="3"/>
        <w:rPr>
          <w:b/>
          <w:bCs/>
          <w:spacing w:val="25"/>
          <w:sz w:val="27"/>
          <w:szCs w:val="27"/>
        </w:rPr>
      </w:pPr>
    </w:p>
    <w:p w14:paraId="6E755B88">
      <w:pPr>
        <w:pStyle w:val="3"/>
        <w:spacing w:before="87" w:line="222" w:lineRule="auto"/>
        <w:ind w:left="553"/>
        <w:outlineLvl w:val="3"/>
        <w:rPr>
          <w:b/>
          <w:bCs/>
          <w:spacing w:val="25"/>
          <w:sz w:val="27"/>
          <w:szCs w:val="27"/>
        </w:rPr>
      </w:pPr>
    </w:p>
    <w:p w14:paraId="47B95853">
      <w:pPr>
        <w:pStyle w:val="3"/>
        <w:spacing w:before="87" w:line="222" w:lineRule="auto"/>
        <w:ind w:left="553"/>
        <w:outlineLvl w:val="3"/>
        <w:rPr>
          <w:b/>
          <w:bCs/>
          <w:spacing w:val="25"/>
          <w:sz w:val="27"/>
          <w:szCs w:val="27"/>
        </w:rPr>
      </w:pPr>
    </w:p>
    <w:p w14:paraId="1E81947C">
      <w:pPr>
        <w:pStyle w:val="3"/>
        <w:spacing w:before="87" w:line="222" w:lineRule="auto"/>
        <w:ind w:left="553"/>
        <w:outlineLvl w:val="3"/>
        <w:rPr>
          <w:b/>
          <w:bCs/>
          <w:spacing w:val="25"/>
          <w:sz w:val="27"/>
          <w:szCs w:val="27"/>
        </w:rPr>
      </w:pPr>
    </w:p>
    <w:p w14:paraId="0A64CE52">
      <w:pPr>
        <w:pStyle w:val="3"/>
        <w:spacing w:before="87" w:line="222" w:lineRule="auto"/>
        <w:ind w:left="553"/>
        <w:outlineLvl w:val="3"/>
        <w:rPr>
          <w:b/>
          <w:bCs/>
          <w:spacing w:val="25"/>
          <w:sz w:val="27"/>
          <w:szCs w:val="27"/>
        </w:rPr>
      </w:pPr>
    </w:p>
    <w:p w14:paraId="63AB034A">
      <w:pPr>
        <w:pStyle w:val="3"/>
        <w:spacing w:before="87" w:line="222" w:lineRule="auto"/>
        <w:ind w:left="553"/>
        <w:outlineLvl w:val="3"/>
        <w:rPr>
          <w:b/>
          <w:bCs/>
          <w:spacing w:val="25"/>
          <w:sz w:val="27"/>
          <w:szCs w:val="27"/>
        </w:rPr>
      </w:pPr>
    </w:p>
    <w:p w14:paraId="51780408">
      <w:pPr>
        <w:pStyle w:val="3"/>
        <w:spacing w:before="87" w:line="222" w:lineRule="auto"/>
        <w:ind w:left="553"/>
        <w:outlineLvl w:val="3"/>
        <w:rPr>
          <w:b/>
          <w:bCs/>
          <w:spacing w:val="25"/>
          <w:sz w:val="27"/>
          <w:szCs w:val="27"/>
        </w:rPr>
      </w:pPr>
    </w:p>
    <w:p w14:paraId="65975451">
      <w:pPr>
        <w:pStyle w:val="3"/>
        <w:spacing w:before="87" w:line="222" w:lineRule="auto"/>
        <w:ind w:left="553"/>
        <w:outlineLvl w:val="3"/>
        <w:rPr>
          <w:b/>
          <w:bCs/>
          <w:spacing w:val="25"/>
          <w:sz w:val="27"/>
          <w:szCs w:val="27"/>
        </w:rPr>
      </w:pPr>
    </w:p>
    <w:p w14:paraId="39F44219">
      <w:pPr>
        <w:pStyle w:val="3"/>
        <w:spacing w:before="87" w:line="222" w:lineRule="auto"/>
        <w:ind w:left="553"/>
        <w:outlineLvl w:val="3"/>
        <w:rPr>
          <w:b/>
          <w:bCs/>
          <w:spacing w:val="25"/>
          <w:sz w:val="27"/>
          <w:szCs w:val="27"/>
        </w:rPr>
      </w:pPr>
    </w:p>
    <w:p w14:paraId="3BDA0A8C">
      <w:pPr>
        <w:pStyle w:val="3"/>
        <w:spacing w:before="87" w:line="222" w:lineRule="auto"/>
        <w:ind w:left="553"/>
        <w:outlineLvl w:val="3"/>
        <w:rPr>
          <w:b/>
          <w:bCs/>
          <w:spacing w:val="25"/>
          <w:sz w:val="27"/>
          <w:szCs w:val="27"/>
        </w:rPr>
      </w:pPr>
    </w:p>
    <w:p w14:paraId="71DF6A9C">
      <w:pPr>
        <w:pStyle w:val="3"/>
        <w:spacing w:before="87" w:line="222" w:lineRule="auto"/>
        <w:ind w:left="553"/>
        <w:outlineLvl w:val="3"/>
        <w:rPr>
          <w:b/>
          <w:bCs/>
          <w:spacing w:val="25"/>
          <w:sz w:val="27"/>
          <w:szCs w:val="27"/>
        </w:rPr>
      </w:pPr>
    </w:p>
    <w:p w14:paraId="43C0A37C">
      <w:pPr>
        <w:pStyle w:val="3"/>
        <w:spacing w:before="87" w:line="222" w:lineRule="auto"/>
        <w:ind w:left="553"/>
        <w:outlineLvl w:val="3"/>
        <w:rPr>
          <w:b/>
          <w:bCs/>
          <w:spacing w:val="25"/>
          <w:sz w:val="27"/>
          <w:szCs w:val="27"/>
        </w:rPr>
      </w:pPr>
    </w:p>
    <w:p w14:paraId="41824236">
      <w:pPr>
        <w:pStyle w:val="3"/>
        <w:spacing w:before="87" w:line="222" w:lineRule="auto"/>
        <w:ind w:left="553"/>
        <w:outlineLvl w:val="3"/>
        <w:rPr>
          <w:b/>
          <w:bCs/>
          <w:spacing w:val="25"/>
          <w:sz w:val="27"/>
          <w:szCs w:val="27"/>
        </w:rPr>
      </w:pPr>
    </w:p>
    <w:p w14:paraId="5E694DFD">
      <w:pPr>
        <w:pStyle w:val="3"/>
        <w:spacing w:before="87" w:line="222" w:lineRule="auto"/>
        <w:ind w:left="553"/>
        <w:outlineLvl w:val="3"/>
        <w:rPr>
          <w:b/>
          <w:bCs/>
          <w:spacing w:val="25"/>
          <w:sz w:val="27"/>
          <w:szCs w:val="27"/>
        </w:rPr>
      </w:pPr>
    </w:p>
    <w:p w14:paraId="588A5EB8">
      <w:pPr>
        <w:pStyle w:val="3"/>
        <w:spacing w:before="87" w:line="222" w:lineRule="auto"/>
        <w:ind w:left="553"/>
        <w:outlineLvl w:val="3"/>
        <w:rPr>
          <w:b/>
          <w:bCs/>
          <w:spacing w:val="25"/>
          <w:sz w:val="27"/>
          <w:szCs w:val="27"/>
        </w:rPr>
      </w:pPr>
    </w:p>
    <w:p w14:paraId="62678F94">
      <w:pPr>
        <w:pStyle w:val="3"/>
        <w:spacing w:before="87" w:line="222" w:lineRule="auto"/>
        <w:ind w:left="553"/>
        <w:outlineLvl w:val="3"/>
        <w:rPr>
          <w:sz w:val="27"/>
          <w:szCs w:val="27"/>
        </w:rPr>
      </w:pPr>
      <w:r>
        <w:rPr>
          <w:b/>
          <w:bCs/>
          <w:spacing w:val="25"/>
          <w:sz w:val="27"/>
          <w:szCs w:val="27"/>
        </w:rPr>
        <w:t>第五条</w:t>
      </w:r>
      <w:r>
        <w:rPr>
          <w:rFonts w:hint="eastAsia"/>
          <w:b/>
          <w:bCs/>
          <w:spacing w:val="25"/>
          <w:sz w:val="27"/>
          <w:szCs w:val="27"/>
          <w:lang w:val="en-US" w:eastAsia="zh-CN"/>
        </w:rPr>
        <w:t xml:space="preserve"> </w:t>
      </w:r>
      <w:r>
        <w:rPr>
          <w:b/>
          <w:bCs/>
          <w:spacing w:val="25"/>
          <w:sz w:val="27"/>
          <w:szCs w:val="27"/>
        </w:rPr>
        <w:t>费用支付</w:t>
      </w:r>
    </w:p>
    <w:p w14:paraId="37189FE7">
      <w:pPr>
        <w:pStyle w:val="3"/>
        <w:spacing w:before="246" w:line="319" w:lineRule="auto"/>
        <w:ind w:right="1114" w:firstLine="550"/>
        <w:rPr>
          <w:sz w:val="27"/>
          <w:szCs w:val="27"/>
        </w:rPr>
      </w:pPr>
      <w:r>
        <w:rPr>
          <w:rFonts w:ascii="宋体" w:hAnsi="宋体" w:eastAsia="宋体" w:cs="宋体"/>
          <w:spacing w:val="12"/>
          <w:sz w:val="27"/>
          <w:szCs w:val="27"/>
        </w:rPr>
        <w:t>5.1</w:t>
      </w:r>
      <w:r>
        <w:rPr>
          <w:rFonts w:ascii="宋体" w:hAnsi="宋体" w:eastAsia="宋体" w:cs="宋体"/>
          <w:spacing w:val="46"/>
          <w:sz w:val="27"/>
          <w:szCs w:val="27"/>
        </w:rPr>
        <w:t xml:space="preserve"> </w:t>
      </w:r>
      <w:r>
        <w:rPr>
          <w:spacing w:val="12"/>
          <w:sz w:val="27"/>
          <w:szCs w:val="27"/>
        </w:rPr>
        <w:t>双方于</w:t>
      </w:r>
      <w:r>
        <w:rPr>
          <w:rFonts w:hint="eastAsia"/>
          <w:spacing w:val="12"/>
          <w:sz w:val="27"/>
          <w:szCs w:val="27"/>
          <w:lang w:val="en-US" w:eastAsia="zh-CN"/>
        </w:rPr>
        <w:t>每季度结束</w:t>
      </w:r>
      <w:r>
        <w:rPr>
          <w:spacing w:val="12"/>
          <w:sz w:val="27"/>
          <w:szCs w:val="27"/>
        </w:rPr>
        <w:t>对当月工作情况(经甲方考核确认的工作完成</w:t>
      </w:r>
      <w:r>
        <w:rPr>
          <w:spacing w:val="11"/>
          <w:sz w:val="27"/>
          <w:szCs w:val="27"/>
        </w:rPr>
        <w:t>情况)</w:t>
      </w:r>
      <w:r>
        <w:rPr>
          <w:sz w:val="27"/>
          <w:szCs w:val="27"/>
        </w:rPr>
        <w:t xml:space="preserve"> </w:t>
      </w:r>
      <w:r>
        <w:rPr>
          <w:spacing w:val="6"/>
          <w:sz w:val="27"/>
          <w:szCs w:val="27"/>
        </w:rPr>
        <w:t>进行验收，甲方按本合同约定的内容对乙方进行考核，对考核不合格的部分</w:t>
      </w:r>
      <w:r>
        <w:rPr>
          <w:rFonts w:hint="eastAsia"/>
          <w:spacing w:val="6"/>
          <w:sz w:val="27"/>
          <w:szCs w:val="27"/>
          <w:lang w:eastAsia="zh-CN"/>
        </w:rPr>
        <w:t>，</w:t>
      </w:r>
      <w:r>
        <w:rPr>
          <w:spacing w:val="4"/>
          <w:sz w:val="27"/>
          <w:szCs w:val="27"/>
        </w:rPr>
        <w:t>在结算时予以相应扣款。</w:t>
      </w:r>
    </w:p>
    <w:p w14:paraId="0B691418">
      <w:pPr>
        <w:pStyle w:val="3"/>
        <w:spacing w:before="252" w:line="299" w:lineRule="auto"/>
        <w:ind w:right="1197" w:firstLine="550"/>
        <w:rPr>
          <w:rFonts w:hint="eastAsia" w:eastAsia="仿宋"/>
          <w:sz w:val="27"/>
          <w:szCs w:val="27"/>
          <w:lang w:val="en-US" w:eastAsia="zh-CN"/>
        </w:rPr>
      </w:pPr>
      <w:r>
        <w:rPr>
          <w:rFonts w:ascii="宋体" w:hAnsi="宋体" w:eastAsia="宋体" w:cs="宋体"/>
          <w:spacing w:val="14"/>
          <w:sz w:val="27"/>
          <w:szCs w:val="27"/>
        </w:rPr>
        <w:t>5.2</w:t>
      </w:r>
      <w:r>
        <w:rPr>
          <w:rFonts w:ascii="宋体" w:hAnsi="宋体" w:eastAsia="宋体" w:cs="宋体"/>
          <w:spacing w:val="66"/>
          <w:sz w:val="27"/>
          <w:szCs w:val="27"/>
        </w:rPr>
        <w:t xml:space="preserve"> </w:t>
      </w:r>
      <w:r>
        <w:rPr>
          <w:spacing w:val="14"/>
          <w:sz w:val="27"/>
          <w:szCs w:val="27"/>
        </w:rPr>
        <w:t>经双方验收结算确定的服务费用，甲方按4.2约定支付给乙方</w:t>
      </w:r>
      <w:r>
        <w:rPr>
          <w:spacing w:val="13"/>
          <w:sz w:val="27"/>
          <w:szCs w:val="27"/>
        </w:rPr>
        <w:t>。乙</w:t>
      </w:r>
      <w:r>
        <w:rPr>
          <w:sz w:val="27"/>
          <w:szCs w:val="27"/>
        </w:rPr>
        <w:t xml:space="preserve"> </w:t>
      </w:r>
      <w:r>
        <w:rPr>
          <w:spacing w:val="6"/>
          <w:sz w:val="27"/>
          <w:szCs w:val="27"/>
        </w:rPr>
        <w:t>方收款账户信息</w:t>
      </w:r>
      <w:r>
        <w:rPr>
          <w:rFonts w:hint="eastAsia"/>
          <w:spacing w:val="6"/>
          <w:sz w:val="27"/>
          <w:szCs w:val="27"/>
          <w:lang w:val="en-US" w:eastAsia="zh-CN"/>
        </w:rPr>
        <w:t>如下：</w:t>
      </w:r>
    </w:p>
    <w:p w14:paraId="5A00AB25">
      <w:pPr>
        <w:pStyle w:val="3"/>
        <w:spacing w:before="234" w:line="221" w:lineRule="auto"/>
        <w:ind w:left="550"/>
        <w:rPr>
          <w:sz w:val="27"/>
          <w:szCs w:val="27"/>
        </w:rPr>
      </w:pPr>
      <w:r>
        <w:rPr>
          <w:spacing w:val="6"/>
          <w:sz w:val="27"/>
          <w:szCs w:val="27"/>
        </w:rPr>
        <w:t>银行账户名称</w:t>
      </w:r>
      <w:r>
        <w:rPr>
          <w:rFonts w:hint="eastAsia"/>
          <w:spacing w:val="6"/>
          <w:sz w:val="27"/>
          <w:szCs w:val="27"/>
          <w:lang w:eastAsia="zh-CN"/>
        </w:rPr>
        <w:t>：</w:t>
      </w:r>
      <w:r>
        <w:rPr>
          <w:spacing w:val="6"/>
          <w:sz w:val="27"/>
          <w:szCs w:val="27"/>
        </w:rPr>
        <w:t>【</w:t>
      </w:r>
      <w:r>
        <w:rPr>
          <w:rFonts w:hint="eastAsia"/>
          <w:spacing w:val="6"/>
          <w:sz w:val="27"/>
          <w:szCs w:val="27"/>
        </w:rPr>
        <w:t>成都巨蓉之星物业服务有限公司</w:t>
      </w:r>
      <w:r>
        <w:rPr>
          <w:spacing w:val="6"/>
          <w:sz w:val="27"/>
          <w:szCs w:val="27"/>
        </w:rPr>
        <w:t>】</w:t>
      </w:r>
    </w:p>
    <w:p w14:paraId="0DC910B2">
      <w:pPr>
        <w:pStyle w:val="3"/>
        <w:spacing w:before="217" w:line="221" w:lineRule="auto"/>
        <w:ind w:left="550"/>
        <w:rPr>
          <w:sz w:val="27"/>
          <w:szCs w:val="27"/>
        </w:rPr>
      </w:pPr>
      <w:r>
        <w:rPr>
          <w:spacing w:val="4"/>
          <w:sz w:val="27"/>
          <w:szCs w:val="27"/>
        </w:rPr>
        <w:t>开户行：【</w:t>
      </w:r>
      <w:r>
        <w:rPr>
          <w:rFonts w:hint="eastAsia"/>
          <w:spacing w:val="4"/>
          <w:sz w:val="27"/>
          <w:szCs w:val="27"/>
        </w:rPr>
        <w:t>招商银行昆明世纪城支行</w:t>
      </w:r>
      <w:r>
        <w:rPr>
          <w:spacing w:val="3"/>
          <w:sz w:val="27"/>
          <w:szCs w:val="27"/>
        </w:rPr>
        <w:t>】</w:t>
      </w:r>
    </w:p>
    <w:p w14:paraId="35CAD770">
      <w:pPr>
        <w:pStyle w:val="3"/>
        <w:spacing w:before="247" w:line="221" w:lineRule="auto"/>
        <w:ind w:left="550"/>
        <w:rPr>
          <w:rFonts w:ascii="宋体" w:hAnsi="宋体" w:eastAsia="宋体" w:cs="宋体"/>
          <w:sz w:val="27"/>
          <w:szCs w:val="27"/>
        </w:rPr>
      </w:pPr>
      <w:r>
        <w:rPr>
          <w:sz w:val="27"/>
          <w:szCs w:val="27"/>
        </w:rPr>
        <w:t>银行账号</w:t>
      </w:r>
      <w:r>
        <w:rPr>
          <w:rFonts w:hint="eastAsia"/>
          <w:sz w:val="27"/>
          <w:szCs w:val="27"/>
          <w:lang w:eastAsia="zh-CN"/>
        </w:rPr>
        <w:t>：</w:t>
      </w:r>
      <w:r>
        <w:rPr>
          <w:rFonts w:ascii="宋体" w:hAnsi="宋体" w:eastAsia="宋体" w:cs="宋体"/>
          <w:sz w:val="27"/>
          <w:szCs w:val="27"/>
        </w:rPr>
        <w:t>【</w:t>
      </w:r>
      <w:r>
        <w:rPr>
          <w:rFonts w:hint="eastAsia" w:ascii="宋体" w:hAnsi="宋体" w:eastAsia="宋体" w:cs="宋体"/>
          <w:sz w:val="27"/>
          <w:szCs w:val="27"/>
        </w:rPr>
        <w:t>871917515510001</w:t>
      </w:r>
      <w:r>
        <w:rPr>
          <w:rFonts w:ascii="宋体" w:hAnsi="宋体" w:eastAsia="宋体" w:cs="宋体"/>
          <w:sz w:val="27"/>
          <w:szCs w:val="27"/>
        </w:rPr>
        <w:t>】</w:t>
      </w:r>
      <w:bookmarkStart w:id="0" w:name="_GoBack"/>
      <w:bookmarkEnd w:id="0"/>
    </w:p>
    <w:p w14:paraId="17D8C566">
      <w:pPr>
        <w:pStyle w:val="3"/>
        <w:spacing w:before="236" w:line="374" w:lineRule="auto"/>
        <w:ind w:right="1255" w:firstLine="550"/>
        <w:rPr>
          <w:sz w:val="27"/>
          <w:szCs w:val="27"/>
        </w:rPr>
      </w:pPr>
      <w:r>
        <w:rPr>
          <w:spacing w:val="15"/>
          <w:sz w:val="27"/>
          <w:szCs w:val="27"/>
        </w:rPr>
        <w:t>甲方应在收到乙方按照甲方要求开具的正规有效增值税专用发票(税率</w:t>
      </w:r>
      <w:r>
        <w:rPr>
          <w:spacing w:val="3"/>
          <w:sz w:val="27"/>
          <w:szCs w:val="27"/>
        </w:rPr>
        <w:t xml:space="preserve"> </w:t>
      </w:r>
      <w:r>
        <w:rPr>
          <w:spacing w:val="18"/>
          <w:sz w:val="27"/>
          <w:szCs w:val="27"/>
        </w:rPr>
        <w:t>6%)后付款给乙方。</w:t>
      </w:r>
    </w:p>
    <w:p w14:paraId="415E9350">
      <w:pPr>
        <w:spacing w:line="374" w:lineRule="auto"/>
        <w:rPr>
          <w:sz w:val="27"/>
          <w:szCs w:val="27"/>
        </w:rPr>
        <w:sectPr>
          <w:headerReference r:id="rId9" w:type="default"/>
          <w:footerReference r:id="rId10" w:type="default"/>
          <w:pgSz w:w="11900" w:h="16820"/>
          <w:pgMar w:top="1089" w:right="0" w:bottom="1312" w:left="1390" w:header="1069" w:footer="1074" w:gutter="0"/>
          <w:pgNumType w:fmt="decimal"/>
          <w:cols w:space="720" w:num="1"/>
        </w:sectPr>
      </w:pPr>
    </w:p>
    <w:p w14:paraId="20A185BD">
      <w:pPr>
        <w:spacing w:line="244" w:lineRule="auto"/>
        <w:rPr>
          <w:rFonts w:ascii="Arial"/>
          <w:sz w:val="21"/>
        </w:rPr>
      </w:pPr>
    </w:p>
    <w:p w14:paraId="38B76F7E">
      <w:pPr>
        <w:spacing w:line="244" w:lineRule="auto"/>
        <w:rPr>
          <w:rFonts w:ascii="Arial"/>
          <w:sz w:val="21"/>
        </w:rPr>
      </w:pPr>
    </w:p>
    <w:p w14:paraId="49615CC0">
      <w:pPr>
        <w:spacing w:line="245" w:lineRule="auto"/>
        <w:rPr>
          <w:rFonts w:ascii="Arial"/>
          <w:sz w:val="21"/>
        </w:rPr>
      </w:pPr>
    </w:p>
    <w:p w14:paraId="128C77A2">
      <w:pPr>
        <w:pStyle w:val="3"/>
        <w:spacing w:before="87" w:line="222" w:lineRule="auto"/>
        <w:ind w:left="1733"/>
        <w:outlineLvl w:val="3"/>
        <w:rPr>
          <w:sz w:val="27"/>
          <w:szCs w:val="27"/>
        </w:rPr>
      </w:pPr>
      <w:r>
        <w:rPr>
          <w:b/>
          <w:bCs/>
          <w:spacing w:val="21"/>
          <w:sz w:val="27"/>
          <w:szCs w:val="27"/>
        </w:rPr>
        <w:t>第六条</w:t>
      </w:r>
      <w:r>
        <w:rPr>
          <w:rFonts w:hint="eastAsia"/>
          <w:b/>
          <w:bCs/>
          <w:spacing w:val="21"/>
          <w:sz w:val="27"/>
          <w:szCs w:val="27"/>
          <w:lang w:val="en-US" w:eastAsia="zh-CN"/>
        </w:rPr>
        <w:t xml:space="preserve"> </w:t>
      </w:r>
      <w:r>
        <w:rPr>
          <w:b/>
          <w:bCs/>
          <w:spacing w:val="21"/>
          <w:sz w:val="27"/>
          <w:szCs w:val="27"/>
        </w:rPr>
        <w:t>甲方权利义务</w:t>
      </w:r>
    </w:p>
    <w:p w14:paraId="38907858">
      <w:pPr>
        <w:pStyle w:val="3"/>
        <w:spacing w:before="233" w:line="325" w:lineRule="auto"/>
        <w:ind w:left="1180" w:right="35" w:firstLine="550"/>
        <w:rPr>
          <w:sz w:val="27"/>
          <w:szCs w:val="27"/>
        </w:rPr>
      </w:pPr>
      <w:r>
        <w:rPr>
          <w:rFonts w:ascii="宋体" w:hAnsi="宋体" w:eastAsia="宋体" w:cs="宋体"/>
          <w:spacing w:val="9"/>
          <w:sz w:val="27"/>
          <w:szCs w:val="27"/>
        </w:rPr>
        <w:t>6.1</w:t>
      </w:r>
      <w:r>
        <w:rPr>
          <w:rFonts w:hint="eastAsia" w:ascii="宋体" w:hAnsi="宋体" w:eastAsia="宋体" w:cs="宋体"/>
          <w:spacing w:val="9"/>
          <w:sz w:val="27"/>
          <w:szCs w:val="27"/>
          <w:lang w:val="en-US" w:eastAsia="zh-CN"/>
        </w:rPr>
        <w:t xml:space="preserve"> </w:t>
      </w:r>
      <w:r>
        <w:rPr>
          <w:rFonts w:hint="eastAsia"/>
          <w:spacing w:val="9"/>
          <w:sz w:val="27"/>
          <w:szCs w:val="27"/>
        </w:rPr>
        <w:t>审定乙方制定的管理服务工作计划、整改项目、安全操作指示、管理规章制度，监督和协助乙方履行本合同</w:t>
      </w:r>
      <w:r>
        <w:rPr>
          <w:spacing w:val="7"/>
          <w:sz w:val="27"/>
          <w:szCs w:val="27"/>
        </w:rPr>
        <w:t>。</w:t>
      </w:r>
    </w:p>
    <w:p w14:paraId="153A2BD1">
      <w:pPr>
        <w:pStyle w:val="3"/>
        <w:spacing w:before="245" w:line="295" w:lineRule="auto"/>
        <w:ind w:left="1180" w:right="26" w:firstLine="550"/>
        <w:rPr>
          <w:sz w:val="27"/>
          <w:szCs w:val="27"/>
        </w:rPr>
      </w:pPr>
      <w:r>
        <w:rPr>
          <w:spacing w:val="16"/>
          <w:sz w:val="27"/>
          <w:szCs w:val="27"/>
        </w:rPr>
        <w:t>6.2</w:t>
      </w:r>
      <w:r>
        <w:rPr>
          <w:rFonts w:hint="eastAsia"/>
          <w:spacing w:val="16"/>
          <w:sz w:val="27"/>
          <w:szCs w:val="27"/>
          <w:lang w:val="en-US" w:eastAsia="zh-CN"/>
        </w:rPr>
        <w:t xml:space="preserve"> </w:t>
      </w:r>
      <w:r>
        <w:rPr>
          <w:rFonts w:hint="eastAsia"/>
          <w:spacing w:val="16"/>
          <w:sz w:val="27"/>
          <w:szCs w:val="27"/>
        </w:rPr>
        <w:t>检查、监督乙方管理工作的实施及规章制度的执行情况，并有权提出管理方面的建议和具体要求。</w:t>
      </w:r>
    </w:p>
    <w:p w14:paraId="79B83BE8">
      <w:pPr>
        <w:pStyle w:val="3"/>
        <w:spacing w:before="245" w:line="295" w:lineRule="auto"/>
        <w:ind w:left="1180" w:right="26" w:firstLine="550"/>
        <w:rPr>
          <w:rFonts w:hint="eastAsia"/>
          <w:spacing w:val="16"/>
          <w:sz w:val="27"/>
          <w:szCs w:val="27"/>
        </w:rPr>
      </w:pPr>
      <w:r>
        <w:rPr>
          <w:spacing w:val="16"/>
          <w:sz w:val="27"/>
          <w:szCs w:val="27"/>
        </w:rPr>
        <w:t>6.3</w:t>
      </w:r>
      <w:r>
        <w:rPr>
          <w:rFonts w:hint="eastAsia"/>
          <w:spacing w:val="16"/>
          <w:sz w:val="27"/>
          <w:szCs w:val="27"/>
          <w:lang w:val="en-US" w:eastAsia="zh-CN"/>
        </w:rPr>
        <w:t xml:space="preserve"> </w:t>
      </w:r>
      <w:r>
        <w:rPr>
          <w:rFonts w:hint="eastAsia"/>
          <w:spacing w:val="16"/>
          <w:sz w:val="27"/>
          <w:szCs w:val="27"/>
        </w:rPr>
        <w:t>乙方提供的合同范围内的服务项目内容经考核验收合格后，甲方按同约定的时间及时向乙方支付合同款项。</w:t>
      </w:r>
    </w:p>
    <w:p w14:paraId="56104A05">
      <w:pPr>
        <w:pStyle w:val="3"/>
        <w:spacing w:before="245" w:line="295" w:lineRule="auto"/>
        <w:ind w:left="1180" w:right="26" w:firstLine="550"/>
        <w:rPr>
          <w:rFonts w:hint="eastAsia"/>
          <w:spacing w:val="16"/>
          <w:sz w:val="27"/>
          <w:szCs w:val="27"/>
          <w:lang w:val="en-US" w:eastAsia="zh-CN"/>
        </w:rPr>
      </w:pPr>
      <w:r>
        <w:rPr>
          <w:rFonts w:hint="eastAsia"/>
          <w:spacing w:val="16"/>
          <w:sz w:val="27"/>
          <w:szCs w:val="27"/>
          <w:lang w:val="en-US" w:eastAsia="zh-CN"/>
        </w:rPr>
        <w:t>6.4 甲方（含宿管中心报修工作）三校区内的所有维修工作，乙方必须执行到位。</w:t>
      </w:r>
    </w:p>
    <w:p w14:paraId="3C93561E">
      <w:pPr>
        <w:pStyle w:val="3"/>
        <w:spacing w:before="245" w:line="295" w:lineRule="auto"/>
        <w:ind w:left="1180" w:right="26" w:firstLine="550"/>
        <w:rPr>
          <w:rFonts w:hint="eastAsia"/>
          <w:spacing w:val="16"/>
          <w:sz w:val="27"/>
          <w:szCs w:val="27"/>
          <w:lang w:val="en-US" w:eastAsia="zh-CN"/>
        </w:rPr>
      </w:pPr>
      <w:r>
        <w:rPr>
          <w:rFonts w:hint="eastAsia"/>
          <w:spacing w:val="16"/>
          <w:sz w:val="27"/>
          <w:szCs w:val="27"/>
          <w:lang w:val="en-US" w:eastAsia="zh-CN"/>
        </w:rPr>
        <w:t>6.5 区域维修负责人联系电话、照片必须温馨提示公示上墙。</w:t>
      </w:r>
    </w:p>
    <w:p w14:paraId="77528EC0">
      <w:pPr>
        <w:pStyle w:val="3"/>
        <w:spacing w:before="245" w:line="295" w:lineRule="auto"/>
        <w:ind w:left="1180" w:right="26" w:firstLine="550"/>
        <w:rPr>
          <w:rFonts w:hint="eastAsia"/>
          <w:spacing w:val="16"/>
          <w:sz w:val="27"/>
          <w:szCs w:val="27"/>
          <w:lang w:val="en-US" w:eastAsia="zh-CN"/>
        </w:rPr>
      </w:pPr>
      <w:r>
        <w:rPr>
          <w:rFonts w:hint="eastAsia"/>
          <w:spacing w:val="16"/>
          <w:sz w:val="27"/>
          <w:szCs w:val="27"/>
          <w:lang w:val="en-US" w:eastAsia="zh-CN"/>
        </w:rPr>
        <w:t>6.6 乙方维修更换提供的材料，保持使用原装品牌规格型号，若原装品牌无产品，替代材料必须报样品及品牌经甲方同意后方可采购使用。</w:t>
      </w:r>
    </w:p>
    <w:p w14:paraId="19E0F961">
      <w:pPr>
        <w:pStyle w:val="3"/>
        <w:spacing w:before="245" w:line="295" w:lineRule="auto"/>
        <w:ind w:left="1180" w:right="26" w:firstLine="550"/>
        <w:rPr>
          <w:rFonts w:hint="default"/>
          <w:spacing w:val="16"/>
          <w:sz w:val="27"/>
          <w:szCs w:val="27"/>
          <w:lang w:val="en-US" w:eastAsia="zh-CN"/>
        </w:rPr>
      </w:pPr>
      <w:r>
        <w:rPr>
          <w:rFonts w:hint="eastAsia"/>
          <w:spacing w:val="16"/>
          <w:sz w:val="27"/>
          <w:szCs w:val="27"/>
          <w:lang w:val="en-US" w:eastAsia="zh-CN"/>
        </w:rPr>
        <w:t>6.7 结合乙方服务工作实施情况，甲方有权下发工作整改通知书，并明确合同执行和履约问题。严格履行合同条款。</w:t>
      </w:r>
    </w:p>
    <w:p w14:paraId="71A4FF3C">
      <w:pPr>
        <w:pStyle w:val="3"/>
        <w:spacing w:before="217" w:line="222" w:lineRule="auto"/>
        <w:ind w:left="1733"/>
        <w:outlineLvl w:val="3"/>
        <w:rPr>
          <w:sz w:val="27"/>
          <w:szCs w:val="27"/>
        </w:rPr>
      </w:pPr>
      <w:r>
        <w:rPr>
          <w:b/>
          <w:bCs/>
          <w:spacing w:val="21"/>
          <w:sz w:val="27"/>
          <w:szCs w:val="27"/>
        </w:rPr>
        <w:t>第七条</w:t>
      </w:r>
      <w:r>
        <w:rPr>
          <w:rFonts w:hint="eastAsia"/>
          <w:b/>
          <w:bCs/>
          <w:spacing w:val="21"/>
          <w:sz w:val="27"/>
          <w:szCs w:val="27"/>
          <w:lang w:val="en-US" w:eastAsia="zh-CN"/>
        </w:rPr>
        <w:t xml:space="preserve"> </w:t>
      </w:r>
      <w:r>
        <w:rPr>
          <w:b/>
          <w:bCs/>
          <w:spacing w:val="21"/>
          <w:sz w:val="27"/>
          <w:szCs w:val="27"/>
        </w:rPr>
        <w:t>乙方权利义务</w:t>
      </w:r>
    </w:p>
    <w:p w14:paraId="6109E57E">
      <w:pPr>
        <w:pStyle w:val="3"/>
        <w:spacing w:before="214" w:line="334" w:lineRule="auto"/>
        <w:ind w:left="1180" w:right="21" w:firstLine="550"/>
        <w:rPr>
          <w:sz w:val="27"/>
          <w:szCs w:val="27"/>
        </w:rPr>
      </w:pPr>
      <w:r>
        <w:rPr>
          <w:rFonts w:ascii="宋体" w:hAnsi="宋体" w:eastAsia="宋体" w:cs="宋体"/>
          <w:spacing w:val="12"/>
          <w:sz w:val="27"/>
          <w:szCs w:val="27"/>
        </w:rPr>
        <w:t xml:space="preserve">7.1 </w:t>
      </w:r>
      <w:r>
        <w:rPr>
          <w:rFonts w:hint="eastAsia"/>
          <w:spacing w:val="12"/>
          <w:sz w:val="27"/>
          <w:szCs w:val="27"/>
        </w:rPr>
        <w:t>根据有关法律、法规及本合同的约定，提供优质、高效的服务，保证按合同规定条款完成甲方项目，并接受甲方和使用人的监督。</w:t>
      </w:r>
    </w:p>
    <w:p w14:paraId="3A86C2EF">
      <w:pPr>
        <w:pStyle w:val="3"/>
        <w:spacing w:before="214" w:line="334" w:lineRule="auto"/>
        <w:ind w:left="1180" w:right="21" w:firstLine="550"/>
        <w:rPr>
          <w:rFonts w:hint="eastAsia"/>
          <w:spacing w:val="12"/>
          <w:sz w:val="27"/>
          <w:szCs w:val="27"/>
        </w:rPr>
      </w:pPr>
      <w:r>
        <w:rPr>
          <w:rFonts w:ascii="宋体" w:hAnsi="宋体" w:eastAsia="宋体" w:cs="宋体"/>
          <w:spacing w:val="12"/>
          <w:sz w:val="27"/>
          <w:szCs w:val="27"/>
        </w:rPr>
        <w:t>7.2</w:t>
      </w:r>
      <w:r>
        <w:rPr>
          <w:rFonts w:hint="eastAsia" w:ascii="宋体" w:hAnsi="宋体" w:eastAsia="宋体" w:cs="宋体"/>
          <w:spacing w:val="12"/>
          <w:sz w:val="27"/>
          <w:szCs w:val="27"/>
          <w:lang w:val="en-US" w:eastAsia="zh-CN"/>
        </w:rPr>
        <w:t xml:space="preserve"> </w:t>
      </w:r>
      <w:r>
        <w:rPr>
          <w:rFonts w:hint="eastAsia"/>
          <w:spacing w:val="12"/>
          <w:sz w:val="27"/>
          <w:szCs w:val="27"/>
        </w:rPr>
        <w:t>按计划进行房屋共用部位的日常管理和维修养护，建立检修记录和保养记录台账。</w:t>
      </w:r>
    </w:p>
    <w:p w14:paraId="047E2827">
      <w:pPr>
        <w:pStyle w:val="3"/>
        <w:spacing w:before="214" w:line="334" w:lineRule="auto"/>
        <w:ind w:left="1180" w:right="21" w:firstLine="550"/>
        <w:rPr>
          <w:rFonts w:hint="eastAsia" w:ascii="仿宋" w:hAnsi="仿宋" w:eastAsia="仿宋" w:cs="仿宋"/>
          <w:spacing w:val="12"/>
          <w:sz w:val="27"/>
          <w:szCs w:val="27"/>
        </w:rPr>
      </w:pPr>
      <w:r>
        <w:rPr>
          <w:rFonts w:hint="eastAsia" w:ascii="仿宋" w:hAnsi="仿宋" w:eastAsia="仿宋" w:cs="仿宋"/>
          <w:spacing w:val="12"/>
          <w:sz w:val="27"/>
          <w:szCs w:val="27"/>
        </w:rPr>
        <w:t>7.3</w:t>
      </w:r>
      <w:r>
        <w:rPr>
          <w:rFonts w:hint="eastAsia" w:cs="仿宋"/>
          <w:spacing w:val="12"/>
          <w:sz w:val="27"/>
          <w:szCs w:val="27"/>
          <w:lang w:val="en-US" w:eastAsia="zh-CN"/>
        </w:rPr>
        <w:t xml:space="preserve"> </w:t>
      </w:r>
      <w:r>
        <w:rPr>
          <w:rFonts w:hint="eastAsia" w:ascii="仿宋" w:hAnsi="仿宋" w:eastAsia="仿宋" w:cs="仿宋"/>
          <w:spacing w:val="12"/>
          <w:sz w:val="27"/>
          <w:szCs w:val="27"/>
        </w:rPr>
        <w:t>全天24小时设维修值班、报修受理服务。</w:t>
      </w:r>
    </w:p>
    <w:p w14:paraId="0F0F5ADD">
      <w:pPr>
        <w:pStyle w:val="3"/>
        <w:spacing w:before="214" w:line="334" w:lineRule="auto"/>
        <w:ind w:left="1180" w:right="21" w:firstLine="550"/>
        <w:rPr>
          <w:rFonts w:hint="eastAsia" w:ascii="仿宋" w:hAnsi="仿宋" w:eastAsia="仿宋" w:cs="仿宋"/>
          <w:spacing w:val="12"/>
          <w:sz w:val="27"/>
          <w:szCs w:val="27"/>
        </w:rPr>
      </w:pPr>
      <w:r>
        <w:rPr>
          <w:rFonts w:hint="eastAsia" w:ascii="仿宋" w:hAnsi="仿宋" w:eastAsia="仿宋" w:cs="仿宋"/>
          <w:spacing w:val="12"/>
          <w:sz w:val="27"/>
          <w:szCs w:val="27"/>
        </w:rPr>
        <w:t>7.4</w:t>
      </w:r>
      <w:r>
        <w:rPr>
          <w:rFonts w:hint="eastAsia" w:cs="仿宋"/>
          <w:spacing w:val="12"/>
          <w:sz w:val="27"/>
          <w:szCs w:val="27"/>
          <w:lang w:val="en-US" w:eastAsia="zh-CN"/>
        </w:rPr>
        <w:t xml:space="preserve"> </w:t>
      </w:r>
      <w:r>
        <w:rPr>
          <w:rFonts w:hint="eastAsia" w:ascii="仿宋" w:hAnsi="仿宋" w:eastAsia="仿宋" w:cs="仿宋"/>
          <w:spacing w:val="12"/>
          <w:sz w:val="27"/>
          <w:szCs w:val="27"/>
        </w:rPr>
        <w:t>在设施发生损坏或接到报修时，维修人员在15分钟内展开维修，一般小型维修在当天内完成；较复杂维修2天内完成，特殊维修在学校主管部门批准的时间内完成。</w:t>
      </w:r>
    </w:p>
    <w:p w14:paraId="16D9792E">
      <w:pPr>
        <w:pStyle w:val="3"/>
        <w:spacing w:before="214" w:line="334" w:lineRule="auto"/>
        <w:ind w:left="1180" w:right="21" w:firstLine="550"/>
        <w:rPr>
          <w:rFonts w:hint="eastAsia" w:ascii="仿宋" w:hAnsi="仿宋" w:eastAsia="仿宋" w:cs="仿宋"/>
          <w:spacing w:val="12"/>
          <w:sz w:val="27"/>
          <w:szCs w:val="27"/>
        </w:rPr>
      </w:pPr>
      <w:r>
        <w:rPr>
          <w:rFonts w:hint="eastAsia" w:ascii="仿宋" w:hAnsi="仿宋" w:eastAsia="仿宋" w:cs="仿宋"/>
          <w:spacing w:val="12"/>
          <w:sz w:val="27"/>
          <w:szCs w:val="27"/>
        </w:rPr>
        <w:t>7.5</w:t>
      </w:r>
      <w:r>
        <w:rPr>
          <w:rFonts w:hint="eastAsia" w:cs="仿宋"/>
          <w:spacing w:val="12"/>
          <w:sz w:val="27"/>
          <w:szCs w:val="27"/>
          <w:lang w:val="en-US" w:eastAsia="zh-CN"/>
        </w:rPr>
        <w:t xml:space="preserve"> </w:t>
      </w:r>
      <w:r>
        <w:rPr>
          <w:rFonts w:hint="eastAsia" w:ascii="仿宋" w:hAnsi="仿宋" w:eastAsia="仿宋" w:cs="仿宋"/>
          <w:spacing w:val="12"/>
          <w:sz w:val="27"/>
          <w:szCs w:val="27"/>
        </w:rPr>
        <w:t>每周巡查2次公共区域及其他共用部位的门窗、玻璃、窗帘、墙、顶、灯具、水暖器材等设施，设备运行是否正常。做好巡查记录，发现问题及时维修养护。配合校内水电相关项目实施供水供电服务。</w:t>
      </w:r>
    </w:p>
    <w:p w14:paraId="7AAB19EB">
      <w:pPr>
        <w:pStyle w:val="3"/>
        <w:spacing w:before="214" w:line="334" w:lineRule="auto"/>
        <w:ind w:left="1180" w:right="21" w:firstLine="550"/>
        <w:rPr>
          <w:rFonts w:hint="eastAsia" w:ascii="仿宋" w:hAnsi="仿宋" w:eastAsia="仿宋" w:cs="仿宋"/>
          <w:spacing w:val="12"/>
          <w:sz w:val="27"/>
          <w:szCs w:val="27"/>
        </w:rPr>
      </w:pPr>
      <w:r>
        <w:rPr>
          <w:rFonts w:hint="eastAsia" w:ascii="仿宋" w:hAnsi="仿宋" w:eastAsia="仿宋" w:cs="仿宋"/>
          <w:spacing w:val="12"/>
          <w:sz w:val="27"/>
          <w:szCs w:val="27"/>
        </w:rPr>
        <w:t>7.6</w:t>
      </w:r>
      <w:r>
        <w:rPr>
          <w:rFonts w:hint="eastAsia" w:cs="仿宋"/>
          <w:spacing w:val="12"/>
          <w:sz w:val="27"/>
          <w:szCs w:val="27"/>
          <w:lang w:val="en-US" w:eastAsia="zh-CN"/>
        </w:rPr>
        <w:t xml:space="preserve"> </w:t>
      </w:r>
      <w:r>
        <w:rPr>
          <w:rFonts w:hint="eastAsia" w:ascii="仿宋" w:hAnsi="仿宋" w:eastAsia="仿宋" w:cs="仿宋"/>
          <w:spacing w:val="12"/>
          <w:sz w:val="27"/>
          <w:szCs w:val="27"/>
        </w:rPr>
        <w:t>乙方维修更换提供的材料，保持使用原装品牌规格型号，若购买不到原装品牌规格型号的材料，则提供至少2种与原材料质量相同、体型相似形状的材料供甲方选择，替代材料需报样品及品牌经甲方选择确认后方可使用。</w:t>
      </w:r>
    </w:p>
    <w:p w14:paraId="4CC32773">
      <w:pPr>
        <w:pStyle w:val="3"/>
        <w:spacing w:before="214" w:line="334" w:lineRule="auto"/>
        <w:ind w:left="1180" w:right="21" w:firstLine="550"/>
        <w:rPr>
          <w:rFonts w:hint="eastAsia" w:ascii="仿宋" w:hAnsi="仿宋" w:eastAsia="仿宋" w:cs="仿宋"/>
          <w:spacing w:val="12"/>
          <w:sz w:val="27"/>
          <w:szCs w:val="27"/>
        </w:rPr>
      </w:pPr>
      <w:r>
        <w:rPr>
          <w:rFonts w:hint="eastAsia" w:ascii="仿宋" w:hAnsi="仿宋" w:eastAsia="仿宋" w:cs="仿宋"/>
          <w:spacing w:val="12"/>
          <w:sz w:val="27"/>
          <w:szCs w:val="27"/>
        </w:rPr>
        <w:t>7.7</w:t>
      </w:r>
      <w:r>
        <w:rPr>
          <w:rFonts w:hint="eastAsia" w:cs="仿宋"/>
          <w:spacing w:val="12"/>
          <w:sz w:val="27"/>
          <w:szCs w:val="27"/>
          <w:lang w:val="en-US" w:eastAsia="zh-CN"/>
        </w:rPr>
        <w:t xml:space="preserve"> </w:t>
      </w:r>
      <w:r>
        <w:rPr>
          <w:rFonts w:hint="eastAsia" w:ascii="仿宋" w:hAnsi="仿宋" w:eastAsia="仿宋" w:cs="仿宋"/>
          <w:spacing w:val="12"/>
          <w:sz w:val="27"/>
          <w:szCs w:val="27"/>
        </w:rPr>
        <w:t>实行经甲方审定通过后的服务管理制度及相关服务承诺，并向学生进行公示。</w:t>
      </w:r>
    </w:p>
    <w:p w14:paraId="143B36D1">
      <w:pPr>
        <w:pStyle w:val="3"/>
        <w:spacing w:before="214" w:line="334" w:lineRule="auto"/>
        <w:ind w:left="1180" w:right="21" w:firstLine="550"/>
        <w:rPr>
          <w:rFonts w:hint="eastAsia" w:ascii="仿宋" w:hAnsi="仿宋" w:eastAsia="仿宋" w:cs="仿宋"/>
          <w:spacing w:val="12"/>
          <w:sz w:val="27"/>
          <w:szCs w:val="27"/>
          <w:lang w:eastAsia="zh-CN"/>
        </w:rPr>
      </w:pPr>
      <w:r>
        <w:rPr>
          <w:rFonts w:hint="eastAsia" w:ascii="仿宋" w:hAnsi="仿宋" w:eastAsia="仿宋" w:cs="仿宋"/>
          <w:spacing w:val="12"/>
          <w:sz w:val="27"/>
          <w:szCs w:val="27"/>
        </w:rPr>
        <w:t>7.8</w:t>
      </w:r>
      <w:r>
        <w:rPr>
          <w:rFonts w:hint="eastAsia" w:cs="仿宋"/>
          <w:spacing w:val="12"/>
          <w:sz w:val="27"/>
          <w:szCs w:val="27"/>
          <w:lang w:val="en-US" w:eastAsia="zh-CN"/>
        </w:rPr>
        <w:t xml:space="preserve"> </w:t>
      </w:r>
      <w:r>
        <w:rPr>
          <w:rFonts w:hint="eastAsia" w:ascii="仿宋" w:hAnsi="仿宋" w:eastAsia="仿宋" w:cs="仿宋"/>
          <w:spacing w:val="12"/>
          <w:sz w:val="27"/>
          <w:szCs w:val="27"/>
        </w:rPr>
        <w:t>有权要求甲方和物业使用人配合乙方的管理服务行为</w:t>
      </w:r>
      <w:r>
        <w:rPr>
          <w:rFonts w:hint="eastAsia" w:ascii="仿宋" w:hAnsi="仿宋" w:eastAsia="仿宋" w:cs="仿宋"/>
          <w:spacing w:val="12"/>
          <w:sz w:val="27"/>
          <w:szCs w:val="27"/>
          <w:lang w:eastAsia="zh-CN"/>
        </w:rPr>
        <w:t>。</w:t>
      </w:r>
    </w:p>
    <w:p w14:paraId="1D47D4D5">
      <w:pPr>
        <w:pStyle w:val="3"/>
        <w:spacing w:before="214" w:line="334" w:lineRule="auto"/>
        <w:ind w:left="1180" w:right="21" w:firstLine="550"/>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7.9</w:t>
      </w:r>
      <w:r>
        <w:rPr>
          <w:rFonts w:hint="eastAsia" w:cs="仿宋"/>
          <w:spacing w:val="12"/>
          <w:sz w:val="27"/>
          <w:szCs w:val="27"/>
          <w:lang w:val="en-US" w:eastAsia="zh-CN"/>
        </w:rPr>
        <w:t xml:space="preserve"> </w:t>
      </w:r>
      <w:r>
        <w:rPr>
          <w:rFonts w:hint="eastAsia" w:ascii="仿宋" w:hAnsi="仿宋" w:eastAsia="仿宋" w:cs="仿宋"/>
          <w:spacing w:val="12"/>
          <w:sz w:val="27"/>
          <w:szCs w:val="27"/>
          <w:lang w:val="en-US" w:eastAsia="zh-CN"/>
        </w:rPr>
        <w:t>对物业使用人违反服务管理制度的行为，有权根据情节轻重，采取劝阻、制止、报告甲方等措施。</w:t>
      </w:r>
    </w:p>
    <w:p w14:paraId="4409B7CC">
      <w:pPr>
        <w:pStyle w:val="3"/>
        <w:spacing w:before="214" w:line="334" w:lineRule="auto"/>
        <w:ind w:left="1180" w:right="21" w:firstLine="550"/>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7.10</w:t>
      </w:r>
      <w:r>
        <w:rPr>
          <w:rFonts w:hint="eastAsia" w:cs="仿宋"/>
          <w:spacing w:val="12"/>
          <w:sz w:val="27"/>
          <w:szCs w:val="27"/>
          <w:lang w:val="en-US" w:eastAsia="zh-CN"/>
        </w:rPr>
        <w:t xml:space="preserve"> </w:t>
      </w:r>
      <w:r>
        <w:rPr>
          <w:rFonts w:hint="eastAsia" w:ascii="仿宋" w:hAnsi="仿宋" w:eastAsia="仿宋" w:cs="仿宋"/>
          <w:spacing w:val="12"/>
          <w:sz w:val="27"/>
          <w:szCs w:val="27"/>
          <w:lang w:val="en-US" w:eastAsia="zh-CN"/>
        </w:rPr>
        <w:t>不承担物业自身或不符合相关法规要求造成的任何损失，责任。</w:t>
      </w:r>
    </w:p>
    <w:p w14:paraId="6CB245F6">
      <w:pPr>
        <w:pStyle w:val="3"/>
        <w:spacing w:before="214" w:line="334" w:lineRule="auto"/>
        <w:ind w:left="1180" w:right="21" w:firstLine="550"/>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7.11</w:t>
      </w:r>
      <w:r>
        <w:rPr>
          <w:rFonts w:hint="eastAsia" w:cs="仿宋"/>
          <w:spacing w:val="12"/>
          <w:sz w:val="27"/>
          <w:szCs w:val="27"/>
          <w:lang w:val="en-US" w:eastAsia="zh-CN"/>
        </w:rPr>
        <w:t xml:space="preserve"> </w:t>
      </w:r>
      <w:r>
        <w:rPr>
          <w:rFonts w:hint="eastAsia" w:ascii="仿宋" w:hAnsi="仿宋" w:eastAsia="仿宋" w:cs="仿宋"/>
          <w:spacing w:val="12"/>
          <w:sz w:val="27"/>
          <w:szCs w:val="27"/>
          <w:lang w:val="en-US" w:eastAsia="zh-CN"/>
        </w:rPr>
        <w:t>乙方对服务区域内使用人的人身、财产物品的保管不负有责任。</w:t>
      </w:r>
    </w:p>
    <w:p w14:paraId="3BA8BCF6">
      <w:pPr>
        <w:pStyle w:val="3"/>
        <w:spacing w:before="214" w:line="334" w:lineRule="auto"/>
        <w:ind w:left="1180" w:right="21" w:firstLine="550"/>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7.12</w:t>
      </w:r>
      <w:r>
        <w:rPr>
          <w:rFonts w:hint="eastAsia" w:cs="仿宋"/>
          <w:spacing w:val="12"/>
          <w:sz w:val="27"/>
          <w:szCs w:val="27"/>
          <w:lang w:val="en-US" w:eastAsia="zh-CN"/>
        </w:rPr>
        <w:t xml:space="preserve"> </w:t>
      </w:r>
      <w:r>
        <w:rPr>
          <w:rFonts w:hint="eastAsia" w:ascii="仿宋" w:hAnsi="仿宋" w:eastAsia="仿宋" w:cs="仿宋"/>
          <w:spacing w:val="12"/>
          <w:sz w:val="27"/>
          <w:szCs w:val="27"/>
          <w:lang w:val="en-US" w:eastAsia="zh-CN"/>
        </w:rPr>
        <w:t>乙方管理好服务人员，统一着装并有明显的公司标识：承担服务人员为甲方提供服务过程中的安全教育和培训：如发生受伤、摔倒等安全事故时，及时救治，负责全程处理和赔付。</w:t>
      </w:r>
    </w:p>
    <w:p w14:paraId="18CF9022">
      <w:pPr>
        <w:pStyle w:val="3"/>
        <w:spacing w:before="214" w:line="334" w:lineRule="auto"/>
        <w:ind w:left="1180" w:right="21" w:firstLine="550"/>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7.13</w:t>
      </w:r>
      <w:r>
        <w:rPr>
          <w:rFonts w:hint="eastAsia" w:cs="仿宋"/>
          <w:spacing w:val="12"/>
          <w:sz w:val="27"/>
          <w:szCs w:val="27"/>
          <w:lang w:val="en-US" w:eastAsia="zh-CN"/>
        </w:rPr>
        <w:t xml:space="preserve"> </w:t>
      </w:r>
      <w:r>
        <w:rPr>
          <w:rFonts w:hint="eastAsia" w:ascii="仿宋" w:hAnsi="仿宋" w:eastAsia="仿宋" w:cs="仿宋"/>
          <w:spacing w:val="12"/>
          <w:sz w:val="27"/>
          <w:szCs w:val="27"/>
          <w:lang w:val="en-US" w:eastAsia="zh-CN"/>
        </w:rPr>
        <w:t>乙方进场服务人员有遵守甲方管理制度的义务，若有人员变动，乙方在3日内书面上报甲方同意并备案。</w:t>
      </w:r>
    </w:p>
    <w:p w14:paraId="485342A8">
      <w:pPr>
        <w:pStyle w:val="3"/>
        <w:spacing w:before="214" w:line="334" w:lineRule="auto"/>
        <w:ind w:left="1180" w:right="21" w:firstLine="550"/>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7.14</w:t>
      </w:r>
      <w:r>
        <w:rPr>
          <w:rFonts w:hint="eastAsia" w:cs="仿宋"/>
          <w:spacing w:val="12"/>
          <w:sz w:val="27"/>
          <w:szCs w:val="27"/>
          <w:lang w:val="en-US" w:eastAsia="zh-CN"/>
        </w:rPr>
        <w:t xml:space="preserve"> </w:t>
      </w:r>
      <w:r>
        <w:rPr>
          <w:rFonts w:hint="eastAsia" w:ascii="仿宋" w:hAnsi="仿宋" w:eastAsia="仿宋" w:cs="仿宋"/>
          <w:spacing w:val="12"/>
          <w:sz w:val="27"/>
          <w:szCs w:val="27"/>
          <w:lang w:val="en-US" w:eastAsia="zh-CN"/>
        </w:rPr>
        <w:t>服务范围内所有维修项目，乙方不得向学生收取任何费用。</w:t>
      </w:r>
    </w:p>
    <w:p w14:paraId="56403584">
      <w:pPr>
        <w:pStyle w:val="3"/>
        <w:spacing w:before="214" w:line="334" w:lineRule="auto"/>
        <w:ind w:left="1180" w:right="21" w:firstLine="550"/>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7.15</w:t>
      </w:r>
      <w:r>
        <w:rPr>
          <w:rFonts w:hint="eastAsia" w:cs="仿宋"/>
          <w:spacing w:val="12"/>
          <w:sz w:val="27"/>
          <w:szCs w:val="27"/>
          <w:lang w:val="en-US" w:eastAsia="zh-CN"/>
        </w:rPr>
        <w:t xml:space="preserve"> </w:t>
      </w:r>
      <w:r>
        <w:rPr>
          <w:rFonts w:hint="eastAsia" w:ascii="仿宋" w:hAnsi="仿宋" w:eastAsia="仿宋" w:cs="仿宋"/>
          <w:spacing w:val="12"/>
          <w:sz w:val="27"/>
          <w:szCs w:val="27"/>
          <w:lang w:val="en-US" w:eastAsia="zh-CN"/>
        </w:rPr>
        <w:t>乙方对服务范围内所有教学设备设施的质量及损坏不负责任，其中由于乙方因素损坏的，乙方负责维修或赔偿。</w:t>
      </w:r>
    </w:p>
    <w:p w14:paraId="63A73A8D">
      <w:pPr>
        <w:pStyle w:val="3"/>
        <w:spacing w:before="214" w:line="334" w:lineRule="auto"/>
        <w:ind w:left="1180" w:right="21" w:firstLine="550"/>
        <w:rPr>
          <w:rFonts w:hint="eastAsia" w:ascii="仿宋" w:hAnsi="仿宋" w:eastAsia="仿宋" w:cs="仿宋"/>
          <w:spacing w:val="12"/>
          <w:sz w:val="27"/>
          <w:szCs w:val="27"/>
          <w:lang w:val="en-US" w:eastAsia="zh-CN"/>
        </w:rPr>
        <w:sectPr>
          <w:headerReference r:id="rId11" w:type="default"/>
          <w:footerReference r:id="rId12" w:type="default"/>
          <w:pgSz w:w="11900" w:h="16820"/>
          <w:pgMar w:top="1140" w:right="1380" w:bottom="1202" w:left="0" w:header="1129" w:footer="976" w:gutter="0"/>
          <w:pgNumType w:fmt="decimal"/>
          <w:cols w:space="720" w:num="1"/>
        </w:sectPr>
      </w:pPr>
      <w:r>
        <w:rPr>
          <w:rFonts w:hint="eastAsia" w:ascii="仿宋" w:hAnsi="仿宋" w:eastAsia="仿宋" w:cs="仿宋"/>
          <w:spacing w:val="12"/>
          <w:sz w:val="27"/>
          <w:szCs w:val="27"/>
          <w:lang w:val="en-US" w:eastAsia="zh-CN"/>
        </w:rPr>
        <w:t>7.16</w:t>
      </w:r>
      <w:r>
        <w:rPr>
          <w:rFonts w:hint="eastAsia" w:cs="仿宋"/>
          <w:spacing w:val="12"/>
          <w:sz w:val="27"/>
          <w:szCs w:val="27"/>
          <w:lang w:val="en-US" w:eastAsia="zh-CN"/>
        </w:rPr>
        <w:t xml:space="preserve"> </w:t>
      </w:r>
      <w:r>
        <w:rPr>
          <w:rFonts w:hint="eastAsia" w:ascii="仿宋" w:hAnsi="仿宋" w:eastAsia="仿宋" w:cs="仿宋"/>
          <w:spacing w:val="12"/>
          <w:sz w:val="27"/>
          <w:szCs w:val="27"/>
          <w:lang w:val="en-US" w:eastAsia="zh-CN"/>
        </w:rPr>
        <w:t>乙方应对学校校园水电安全隐患、私搭电线、乱接管道、甚至是偷水偷电的行为做好摸底排查，以台账形式记录。于次月月初将情况汇报至学校相关部门，若未汇报，甲方向乙方下发工作整改通知书，限期整改。</w:t>
      </w:r>
    </w:p>
    <w:p w14:paraId="7FB67085">
      <w:pPr>
        <w:pStyle w:val="3"/>
        <w:spacing w:before="214" w:line="334" w:lineRule="auto"/>
        <w:ind w:left="1180" w:right="21" w:firstLine="550"/>
        <w:rPr>
          <w:rFonts w:hint="eastAsia" w:ascii="仿宋" w:hAnsi="仿宋" w:eastAsia="仿宋" w:cs="仿宋"/>
          <w:spacing w:val="12"/>
          <w:sz w:val="27"/>
          <w:szCs w:val="27"/>
        </w:rPr>
      </w:pPr>
    </w:p>
    <w:p w14:paraId="77A37D4A">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rPr>
      </w:pPr>
      <w:r>
        <w:rPr>
          <w:rFonts w:hint="eastAsia" w:ascii="仿宋" w:hAnsi="仿宋" w:eastAsia="仿宋" w:cs="仿宋"/>
          <w:spacing w:val="12"/>
          <w:sz w:val="27"/>
          <w:szCs w:val="27"/>
        </w:rPr>
        <w:t>7.</w:t>
      </w:r>
      <w:r>
        <w:rPr>
          <w:rFonts w:hint="eastAsia" w:ascii="仿宋" w:hAnsi="仿宋" w:eastAsia="仿宋" w:cs="仿宋"/>
          <w:spacing w:val="12"/>
          <w:sz w:val="27"/>
          <w:szCs w:val="27"/>
          <w:lang w:val="en-US" w:eastAsia="zh-CN"/>
        </w:rPr>
        <w:t>17</w:t>
      </w:r>
      <w:r>
        <w:rPr>
          <w:rFonts w:hint="eastAsia" w:cs="仿宋"/>
          <w:spacing w:val="12"/>
          <w:sz w:val="27"/>
          <w:szCs w:val="27"/>
          <w:lang w:val="en-US" w:eastAsia="zh-CN"/>
        </w:rPr>
        <w:t xml:space="preserve"> </w:t>
      </w:r>
      <w:r>
        <w:rPr>
          <w:rFonts w:hint="eastAsia" w:ascii="仿宋" w:hAnsi="仿宋" w:eastAsia="仿宋" w:cs="仿宋"/>
          <w:spacing w:val="12"/>
          <w:sz w:val="27"/>
          <w:szCs w:val="27"/>
        </w:rPr>
        <w:t>参与甲方共同进行项目的验收。</w:t>
      </w:r>
    </w:p>
    <w:p w14:paraId="1955B3C4">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rPr>
      </w:pPr>
      <w:r>
        <w:rPr>
          <w:rFonts w:hint="eastAsia" w:ascii="仿宋" w:hAnsi="仿宋" w:eastAsia="仿宋" w:cs="仿宋"/>
          <w:spacing w:val="12"/>
          <w:sz w:val="27"/>
          <w:szCs w:val="27"/>
        </w:rPr>
        <w:t>7.1</w:t>
      </w:r>
      <w:r>
        <w:rPr>
          <w:rFonts w:hint="eastAsia" w:ascii="仿宋" w:hAnsi="仿宋" w:eastAsia="仿宋" w:cs="仿宋"/>
          <w:spacing w:val="12"/>
          <w:sz w:val="27"/>
          <w:szCs w:val="27"/>
          <w:lang w:val="en-US" w:eastAsia="zh-CN"/>
        </w:rPr>
        <w:t>8</w:t>
      </w:r>
      <w:r>
        <w:rPr>
          <w:rFonts w:hint="eastAsia" w:cs="仿宋"/>
          <w:spacing w:val="12"/>
          <w:sz w:val="27"/>
          <w:szCs w:val="27"/>
          <w:lang w:val="en-US" w:eastAsia="zh-CN"/>
        </w:rPr>
        <w:t xml:space="preserve"> </w:t>
      </w:r>
      <w:r>
        <w:rPr>
          <w:rFonts w:hint="eastAsia" w:ascii="仿宋" w:hAnsi="仿宋" w:eastAsia="仿宋" w:cs="仿宋"/>
          <w:spacing w:val="12"/>
          <w:sz w:val="27"/>
          <w:szCs w:val="27"/>
        </w:rPr>
        <w:t>本合同终止时，应移交管理权，协助甲方作好服务的交接和善后工作，移交或配合甲方移交水电管理用房和水电管理的全部档案资料。甲方在乙方完成移交工作后支付乙方最后一期合同价款，乙方违反该约定的，甲方有权拒付当期合同价款。</w:t>
      </w:r>
    </w:p>
    <w:p w14:paraId="29038989">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rPr>
      </w:pPr>
      <w:r>
        <w:rPr>
          <w:rFonts w:hint="eastAsia" w:ascii="仿宋" w:hAnsi="仿宋" w:eastAsia="仿宋" w:cs="仿宋"/>
          <w:spacing w:val="12"/>
          <w:sz w:val="27"/>
          <w:szCs w:val="27"/>
        </w:rPr>
        <w:t>7.1</w:t>
      </w:r>
      <w:r>
        <w:rPr>
          <w:rFonts w:hint="eastAsia" w:ascii="仿宋" w:hAnsi="仿宋" w:eastAsia="仿宋" w:cs="仿宋"/>
          <w:spacing w:val="12"/>
          <w:sz w:val="27"/>
          <w:szCs w:val="27"/>
          <w:lang w:val="en-US" w:eastAsia="zh-CN"/>
        </w:rPr>
        <w:t>9</w:t>
      </w:r>
      <w:r>
        <w:rPr>
          <w:rFonts w:hint="eastAsia" w:cs="仿宋"/>
          <w:spacing w:val="12"/>
          <w:sz w:val="27"/>
          <w:szCs w:val="27"/>
          <w:lang w:val="en-US" w:eastAsia="zh-CN"/>
        </w:rPr>
        <w:t xml:space="preserve"> </w:t>
      </w:r>
      <w:r>
        <w:rPr>
          <w:rFonts w:hint="eastAsia" w:ascii="仿宋" w:hAnsi="仿宋" w:eastAsia="仿宋" w:cs="仿宋"/>
          <w:spacing w:val="12"/>
          <w:sz w:val="27"/>
          <w:szCs w:val="27"/>
        </w:rPr>
        <w:t>按合同约定收取合同款项。</w:t>
      </w:r>
    </w:p>
    <w:p w14:paraId="06E7EED7">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7.20</w:t>
      </w:r>
      <w:r>
        <w:rPr>
          <w:rFonts w:hint="eastAsia" w:cs="仿宋"/>
          <w:spacing w:val="12"/>
          <w:sz w:val="27"/>
          <w:szCs w:val="27"/>
          <w:lang w:val="en-US" w:eastAsia="zh-CN"/>
        </w:rPr>
        <w:t xml:space="preserve"> </w:t>
      </w:r>
      <w:r>
        <w:rPr>
          <w:rFonts w:hint="eastAsia" w:ascii="仿宋" w:hAnsi="仿宋" w:eastAsia="仿宋" w:cs="仿宋"/>
          <w:spacing w:val="12"/>
          <w:sz w:val="27"/>
          <w:szCs w:val="27"/>
          <w:lang w:val="en-US" w:eastAsia="zh-CN"/>
        </w:rPr>
        <w:t>乙方负责学校三校区的二次供水管理，水泵房卫生及卫生应急处置的日常管理。</w:t>
      </w:r>
    </w:p>
    <w:p w14:paraId="74AFCF99">
      <w:pPr>
        <w:pStyle w:val="3"/>
        <w:spacing w:before="207" w:line="222" w:lineRule="auto"/>
        <w:ind w:left="523"/>
        <w:outlineLvl w:val="3"/>
        <w:rPr>
          <w:sz w:val="27"/>
          <w:szCs w:val="27"/>
        </w:rPr>
      </w:pPr>
      <w:r>
        <w:rPr>
          <w:b/>
          <w:bCs/>
          <w:spacing w:val="23"/>
          <w:sz w:val="27"/>
          <w:szCs w:val="27"/>
        </w:rPr>
        <w:t>第</w:t>
      </w:r>
      <w:r>
        <w:rPr>
          <w:rFonts w:hint="eastAsia"/>
          <w:b/>
          <w:bCs/>
          <w:spacing w:val="23"/>
          <w:sz w:val="27"/>
          <w:szCs w:val="27"/>
          <w:lang w:val="en-US" w:eastAsia="zh-CN"/>
        </w:rPr>
        <w:t>八</w:t>
      </w:r>
      <w:r>
        <w:rPr>
          <w:b/>
          <w:bCs/>
          <w:spacing w:val="23"/>
          <w:sz w:val="27"/>
          <w:szCs w:val="27"/>
        </w:rPr>
        <w:t>条</w:t>
      </w:r>
      <w:r>
        <w:rPr>
          <w:rFonts w:hint="eastAsia"/>
          <w:b/>
          <w:bCs/>
          <w:spacing w:val="23"/>
          <w:sz w:val="27"/>
          <w:szCs w:val="27"/>
          <w:lang w:val="en-US" w:eastAsia="zh-CN"/>
        </w:rPr>
        <w:t xml:space="preserve"> </w:t>
      </w:r>
      <w:r>
        <w:rPr>
          <w:rFonts w:hint="eastAsia"/>
          <w:b/>
          <w:bCs/>
          <w:spacing w:val="23"/>
          <w:sz w:val="27"/>
          <w:szCs w:val="27"/>
        </w:rPr>
        <w:t>履约保证</w:t>
      </w:r>
    </w:p>
    <w:p w14:paraId="464F2AE2">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cs="仿宋"/>
          <w:spacing w:val="12"/>
          <w:sz w:val="27"/>
          <w:szCs w:val="27"/>
          <w:lang w:val="en-US" w:eastAsia="zh-CN"/>
        </w:rPr>
        <w:t>8.1 合同签订后一个月内，乙方向甲方缴纳 ¥93180.00 元（大写：玖万叁仟壹佰捌拾元整）的履约保证金，若乙方在服务过程中发生安全事故对甲方造成经济损失，则扣除相应保证金，若损失金额超过保证金金额，甲方有权继续向乙方追诉。若服务期内无任何安全事故发生且乙方无任何违约情形的，该费用在采购合同履行期满后一个月内无息退还给乙方。</w:t>
      </w:r>
    </w:p>
    <w:p w14:paraId="4BD1483B">
      <w:pPr>
        <w:pStyle w:val="3"/>
        <w:spacing w:before="207" w:line="222" w:lineRule="auto"/>
        <w:ind w:left="523"/>
        <w:outlineLvl w:val="3"/>
        <w:rPr>
          <w:sz w:val="27"/>
          <w:szCs w:val="27"/>
        </w:rPr>
      </w:pPr>
      <w:r>
        <w:rPr>
          <w:b/>
          <w:bCs/>
          <w:spacing w:val="23"/>
          <w:sz w:val="27"/>
          <w:szCs w:val="27"/>
        </w:rPr>
        <w:t>第</w:t>
      </w:r>
      <w:r>
        <w:rPr>
          <w:rFonts w:hint="eastAsia"/>
          <w:b/>
          <w:bCs/>
          <w:spacing w:val="23"/>
          <w:sz w:val="27"/>
          <w:szCs w:val="27"/>
          <w:lang w:val="en-US" w:eastAsia="zh-CN"/>
        </w:rPr>
        <w:t>九</w:t>
      </w:r>
      <w:r>
        <w:rPr>
          <w:b/>
          <w:bCs/>
          <w:spacing w:val="23"/>
          <w:sz w:val="27"/>
          <w:szCs w:val="27"/>
        </w:rPr>
        <w:t>条</w:t>
      </w:r>
      <w:r>
        <w:rPr>
          <w:rFonts w:hint="eastAsia"/>
          <w:b/>
          <w:bCs/>
          <w:spacing w:val="23"/>
          <w:sz w:val="27"/>
          <w:szCs w:val="27"/>
          <w:lang w:val="en-US" w:eastAsia="zh-CN"/>
        </w:rPr>
        <w:t xml:space="preserve"> </w:t>
      </w:r>
      <w:r>
        <w:rPr>
          <w:b/>
          <w:bCs/>
          <w:spacing w:val="23"/>
          <w:sz w:val="27"/>
          <w:szCs w:val="27"/>
        </w:rPr>
        <w:t>违约责任</w:t>
      </w:r>
    </w:p>
    <w:p w14:paraId="47062106">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8.1 乙方未能履行合同约定的日常管理和维修养护义务或未按甲方要求及时响应达两次以上的，乙方无权请求返还履约保证金，甲方有权单方解除合同，自行或聘请第三方进行维修养护，费用由乙方另行承担，乙方需向甲方支付合同金额30%的违约责任，造成甲方损失，履约保证金不足以赔偿甲方损失的，赔偿至实际损失止。</w:t>
      </w:r>
    </w:p>
    <w:p w14:paraId="76735EE0">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8.2 除不可抗力及合同另有约定外，甲方违反本合同约定的义务，致使乙方不能完成本合同约定的服务内容和标准的，乙方有权要求甲方承担违约与赔偿责任或终止合同。</w:t>
      </w:r>
    </w:p>
    <w:p w14:paraId="404F7AE8">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8.3 乙方不能达到所承诺的管理质量标准和有关技术规范标准，乙方按协议条款支付合同金额30%的违约金，赔偿因违约给甲方造成的所有损失。</w:t>
      </w:r>
    </w:p>
    <w:p w14:paraId="68683A83">
      <w:pPr>
        <w:pStyle w:val="3"/>
        <w:spacing w:before="212" w:line="222" w:lineRule="auto"/>
        <w:ind w:left="523"/>
        <w:outlineLvl w:val="3"/>
        <w:rPr>
          <w:b/>
          <w:bCs/>
          <w:spacing w:val="17"/>
          <w:sz w:val="27"/>
          <w:szCs w:val="27"/>
        </w:rPr>
      </w:pPr>
      <w:r>
        <w:rPr>
          <w:b/>
          <w:bCs/>
          <w:spacing w:val="17"/>
          <w:sz w:val="27"/>
          <w:szCs w:val="27"/>
        </w:rPr>
        <w:t>第九条</w:t>
      </w:r>
      <w:r>
        <w:rPr>
          <w:rFonts w:hint="eastAsia"/>
          <w:b/>
          <w:bCs/>
          <w:spacing w:val="17"/>
          <w:sz w:val="27"/>
          <w:szCs w:val="27"/>
          <w:lang w:val="en-US" w:eastAsia="zh-CN"/>
        </w:rPr>
        <w:t xml:space="preserve"> </w:t>
      </w:r>
      <w:r>
        <w:rPr>
          <w:b/>
          <w:bCs/>
          <w:spacing w:val="17"/>
          <w:sz w:val="27"/>
          <w:szCs w:val="27"/>
        </w:rPr>
        <w:t>合同的变更与解除</w:t>
      </w:r>
    </w:p>
    <w:p w14:paraId="2B503FB6">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有下述情形之一，甲方有权单方解除合同，甲方可发出书面通知解除合同，合同自通知到达乙方时解除，乙方承担合同金额30%的违约责任：</w:t>
      </w:r>
    </w:p>
    <w:p w14:paraId="69BA684A">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9.1 合同服务由于乙方原因未能达到维修维护要求，且甲、乙双方未就合同的后续履行协商达成一致的；</w:t>
      </w:r>
    </w:p>
    <w:p w14:paraId="38C716F3">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9.2</w:t>
      </w:r>
      <w:r>
        <w:rPr>
          <w:rFonts w:hint="eastAsia" w:cs="仿宋"/>
          <w:spacing w:val="12"/>
          <w:sz w:val="27"/>
          <w:szCs w:val="27"/>
          <w:lang w:val="en-US" w:eastAsia="zh-CN"/>
        </w:rPr>
        <w:t xml:space="preserve"> </w:t>
      </w:r>
      <w:r>
        <w:rPr>
          <w:rFonts w:hint="eastAsia" w:ascii="仿宋" w:hAnsi="仿宋" w:eastAsia="仿宋" w:cs="仿宋"/>
          <w:spacing w:val="12"/>
          <w:sz w:val="27"/>
          <w:szCs w:val="27"/>
          <w:lang w:val="en-US" w:eastAsia="zh-CN"/>
        </w:rPr>
        <w:t>乙方未能履行合同项下任何其它义务（细微义务除外），或在未事先征得甲方同意的情况下，从事任何可能在实质上不利影响其履行合同能力的活动，经甲方书面通知后 3 日内未能对其行为作出补救</w:t>
      </w:r>
      <w:r>
        <w:rPr>
          <w:rFonts w:hint="eastAsia" w:cs="仿宋"/>
          <w:spacing w:val="12"/>
          <w:sz w:val="27"/>
          <w:szCs w:val="27"/>
          <w:lang w:val="en-US" w:eastAsia="zh-CN"/>
        </w:rPr>
        <w:t>。</w:t>
      </w:r>
    </w:p>
    <w:p w14:paraId="40C46D8C">
      <w:pPr>
        <w:pStyle w:val="3"/>
        <w:spacing w:before="226" w:line="222" w:lineRule="auto"/>
        <w:ind w:left="523"/>
        <w:outlineLvl w:val="3"/>
        <w:rPr>
          <w:rFonts w:hint="eastAsia" w:ascii="仿宋" w:hAnsi="仿宋" w:eastAsia="仿宋" w:cs="仿宋"/>
          <w:spacing w:val="12"/>
          <w:sz w:val="27"/>
          <w:szCs w:val="27"/>
          <w:lang w:val="en-US" w:eastAsia="zh-CN"/>
        </w:rPr>
      </w:pPr>
      <w:r>
        <w:rPr>
          <w:b/>
          <w:bCs/>
          <w:spacing w:val="26"/>
          <w:sz w:val="27"/>
          <w:szCs w:val="27"/>
        </w:rPr>
        <w:t>第十条</w:t>
      </w:r>
      <w:r>
        <w:rPr>
          <w:rFonts w:hint="eastAsia"/>
          <w:b/>
          <w:bCs/>
          <w:spacing w:val="26"/>
          <w:sz w:val="27"/>
          <w:szCs w:val="27"/>
          <w:lang w:val="en-US" w:eastAsia="zh-CN"/>
        </w:rPr>
        <w:t xml:space="preserve"> </w:t>
      </w:r>
      <w:r>
        <w:rPr>
          <w:b/>
          <w:bCs/>
          <w:spacing w:val="26"/>
          <w:sz w:val="27"/>
          <w:szCs w:val="27"/>
        </w:rPr>
        <w:t>不可抗力</w:t>
      </w:r>
    </w:p>
    <w:p w14:paraId="51E5BC52">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10.1 任何一方由于不可抗力原因不能履行合同时，应在不可抗力事件结束后1日内向对方书面通报，以减轻可能给对方造成的损失，在取得有关机构的不可抗力证明或双方谅解确认后，允许延期履行或修订合同，并根据情况可部分或全部免于承担违约责任。</w:t>
      </w:r>
    </w:p>
    <w:p w14:paraId="71C45432">
      <w:pPr>
        <w:pStyle w:val="3"/>
        <w:spacing w:before="226" w:line="222" w:lineRule="auto"/>
        <w:ind w:left="523"/>
        <w:outlineLvl w:val="3"/>
        <w:rPr>
          <w:b/>
          <w:bCs/>
          <w:spacing w:val="26"/>
          <w:sz w:val="27"/>
          <w:szCs w:val="27"/>
        </w:rPr>
      </w:pPr>
      <w:r>
        <w:rPr>
          <w:b/>
          <w:bCs/>
          <w:spacing w:val="26"/>
          <w:sz w:val="27"/>
          <w:szCs w:val="27"/>
        </w:rPr>
        <w:t>第十一条</w:t>
      </w:r>
      <w:r>
        <w:rPr>
          <w:rFonts w:hint="eastAsia"/>
          <w:b/>
          <w:bCs/>
          <w:spacing w:val="26"/>
          <w:sz w:val="27"/>
          <w:szCs w:val="27"/>
          <w:lang w:val="en-US" w:eastAsia="zh-CN"/>
        </w:rPr>
        <w:t xml:space="preserve"> </w:t>
      </w:r>
      <w:r>
        <w:rPr>
          <w:b/>
          <w:bCs/>
          <w:spacing w:val="26"/>
          <w:sz w:val="27"/>
          <w:szCs w:val="27"/>
        </w:rPr>
        <w:t>通知与送达</w:t>
      </w:r>
    </w:p>
    <w:p w14:paraId="2921B3E5">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11.1 本合同载明的双方地址、电话等信息，系双方有效联系方式，如发生变更，应在变更当日书面通知另一方，否则依该联系方式送达相关文书的，视为送达成功。</w:t>
      </w:r>
    </w:p>
    <w:p w14:paraId="64EA793D">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11.2</w:t>
      </w:r>
      <w:r>
        <w:rPr>
          <w:rFonts w:hint="eastAsia" w:cs="仿宋"/>
          <w:spacing w:val="12"/>
          <w:sz w:val="27"/>
          <w:szCs w:val="27"/>
          <w:lang w:val="en-US" w:eastAsia="zh-CN"/>
        </w:rPr>
        <w:t xml:space="preserve"> </w:t>
      </w:r>
      <w:r>
        <w:rPr>
          <w:rFonts w:hint="eastAsia" w:ascii="仿宋" w:hAnsi="仿宋" w:eastAsia="仿宋" w:cs="仿宋"/>
          <w:spacing w:val="12"/>
          <w:sz w:val="27"/>
          <w:szCs w:val="27"/>
          <w:lang w:val="en-US" w:eastAsia="zh-CN"/>
        </w:rPr>
        <w:t>本协议中所载的书面通知方式仅指当事人亲自送达、挂号信、 EMS方式。一方采取当事人亲自送达方式的，另一方有积极配合签收的义务。如一方拒绝签收而使另一方变更送达方式的，由此所生的费用应当由违约方承担；如以EMS 或快递方式寄送的，如无相反证据证明，自寄送之日起的第三日为送达之日。</w:t>
      </w:r>
    </w:p>
    <w:p w14:paraId="71B8D09D">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p>
    <w:p w14:paraId="706138D5">
      <w:pPr>
        <w:pStyle w:val="3"/>
        <w:spacing w:before="226" w:line="222" w:lineRule="auto"/>
        <w:ind w:left="523"/>
        <w:outlineLvl w:val="3"/>
        <w:rPr>
          <w:b/>
          <w:bCs/>
          <w:spacing w:val="26"/>
          <w:sz w:val="27"/>
          <w:szCs w:val="27"/>
        </w:rPr>
      </w:pPr>
      <w:r>
        <w:rPr>
          <w:b/>
          <w:bCs/>
          <w:spacing w:val="26"/>
          <w:sz w:val="27"/>
          <w:szCs w:val="27"/>
        </w:rPr>
        <w:t>第十二条争议解决</w:t>
      </w:r>
    </w:p>
    <w:p w14:paraId="2D63B3B4">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12.1 因本合同的签订或履行发生争议的，由甲乙双方协商解决。协商不成的，任何一方可依法 向甲方所在地有管辖权的人民法院起诉。</w:t>
      </w:r>
    </w:p>
    <w:p w14:paraId="24DADE25">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12.2 因处理争议而产生的诉讼费、公告费、律师代理费及差旅费等全部费用，由败诉方承担。</w:t>
      </w:r>
    </w:p>
    <w:p w14:paraId="285A3CA1">
      <w:pPr>
        <w:pStyle w:val="3"/>
        <w:spacing w:before="226" w:line="222" w:lineRule="auto"/>
        <w:ind w:left="523"/>
        <w:outlineLvl w:val="3"/>
        <w:rPr>
          <w:b/>
          <w:bCs/>
          <w:spacing w:val="26"/>
          <w:sz w:val="27"/>
          <w:szCs w:val="27"/>
        </w:rPr>
      </w:pPr>
      <w:r>
        <w:rPr>
          <w:b/>
          <w:bCs/>
          <w:spacing w:val="26"/>
          <w:sz w:val="27"/>
          <w:szCs w:val="27"/>
        </w:rPr>
        <w:t>第十三条附则</w:t>
      </w:r>
    </w:p>
    <w:p w14:paraId="69DD48CD">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13.1 本合同未尽事宜，双方可协商签订补充合同，补充合同和本合同具 有同等法律效力。</w:t>
      </w:r>
    </w:p>
    <w:p w14:paraId="65D510F4">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13.2 本合同自双方法定代表人或授权代表签字并加盖公章或合同章后于生效日开始生效，本合同一式【肆】份，甲乙双方各执【贰】份，具有同样的法律效力。</w:t>
      </w:r>
    </w:p>
    <w:p w14:paraId="4EBEFC42">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p>
    <w:p w14:paraId="29645283">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p>
    <w:p w14:paraId="2694C50F">
      <w:pPr>
        <w:pStyle w:val="3"/>
        <w:spacing w:before="91" w:line="221" w:lineRule="auto"/>
        <w:ind w:left="549"/>
        <w:rPr>
          <w:rFonts w:hint="default" w:ascii="仿宋" w:hAnsi="仿宋" w:eastAsia="仿宋" w:cs="仿宋"/>
          <w:sz w:val="28"/>
          <w:szCs w:val="28"/>
          <w:lang w:val="en-US" w:eastAsia="zh-CN"/>
        </w:rPr>
      </w:pPr>
      <w:r>
        <w:rPr>
          <w:rFonts w:hint="eastAsia" w:ascii="仿宋" w:hAnsi="仿宋" w:eastAsia="仿宋" w:cs="仿宋"/>
          <w:spacing w:val="27"/>
          <w:sz w:val="28"/>
          <w:szCs w:val="28"/>
        </w:rPr>
        <w:t>甲方(盖章):【中郦智慧物业服务(云南)有限公司】</w:t>
      </w:r>
      <w:r>
        <w:rPr>
          <w:rFonts w:hint="eastAsia" w:cs="仿宋"/>
          <w:spacing w:val="27"/>
          <w:sz w:val="28"/>
          <w:szCs w:val="28"/>
          <w:lang w:val="en-US" w:eastAsia="zh-CN"/>
        </w:rPr>
        <w:t xml:space="preserve">   </w:t>
      </w:r>
    </w:p>
    <w:p w14:paraId="6FFEAB65">
      <w:pPr>
        <w:pStyle w:val="3"/>
        <w:spacing w:before="257" w:line="182" w:lineRule="auto"/>
        <w:ind w:left="549"/>
        <w:rPr>
          <w:rFonts w:hint="eastAsia" w:ascii="仿宋" w:hAnsi="仿宋" w:eastAsia="仿宋" w:cs="仿宋"/>
          <w:sz w:val="28"/>
          <w:szCs w:val="28"/>
          <w:lang w:eastAsia="zh-CN"/>
        </w:rPr>
      </w:pPr>
      <w:r>
        <w:rPr>
          <w:rFonts w:hint="eastAsia" w:ascii="仿宋" w:hAnsi="仿宋" w:eastAsia="仿宋" w:cs="仿宋"/>
          <w:spacing w:val="23"/>
          <w:sz w:val="28"/>
          <w:szCs w:val="28"/>
        </w:rPr>
        <w:t>法定代表人或授权代表(签字)</w:t>
      </w:r>
      <w:r>
        <w:rPr>
          <w:rFonts w:hint="eastAsia" w:ascii="仿宋" w:hAnsi="仿宋" w:eastAsia="仿宋" w:cs="仿宋"/>
          <w:spacing w:val="23"/>
          <w:sz w:val="28"/>
          <w:szCs w:val="28"/>
          <w:lang w:eastAsia="zh-CN"/>
        </w:rPr>
        <w:t>：</w:t>
      </w:r>
    </w:p>
    <w:p w14:paraId="09982FC6">
      <w:pPr>
        <w:spacing w:line="349" w:lineRule="auto"/>
        <w:rPr>
          <w:rFonts w:hint="eastAsia" w:ascii="仿宋" w:hAnsi="仿宋" w:eastAsia="仿宋" w:cs="仿宋"/>
          <w:sz w:val="28"/>
          <w:szCs w:val="28"/>
        </w:rPr>
      </w:pPr>
    </w:p>
    <w:p w14:paraId="51C9DA17">
      <w:pPr>
        <w:spacing w:before="91" w:line="219"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val="en-US"/>
        </w:rPr>
        <w:drawing>
          <wp:anchor distT="0" distB="0" distL="0" distR="0" simplePos="0" relativeHeight="251663360" behindDoc="0" locked="0" layoutInCell="1" allowOverlap="1">
            <wp:simplePos x="0" y="0"/>
            <wp:positionH relativeFrom="column">
              <wp:posOffset>951865</wp:posOffset>
            </wp:positionH>
            <wp:positionV relativeFrom="paragraph">
              <wp:posOffset>-132715</wp:posOffset>
            </wp:positionV>
            <wp:extent cx="6350" cy="342900"/>
            <wp:effectExtent l="0" t="0" r="1270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6"/>
                    <a:stretch>
                      <a:fillRect/>
                    </a:stretch>
                  </pic:blipFill>
                  <pic:spPr>
                    <a:xfrm>
                      <a:off x="0" y="0"/>
                      <a:ext cx="6350" cy="342850"/>
                    </a:xfrm>
                    <a:prstGeom prst="rect">
                      <a:avLst/>
                    </a:prstGeom>
                  </pic:spPr>
                </pic:pic>
              </a:graphicData>
            </a:graphic>
          </wp:anchor>
        </w:drawing>
      </w:r>
      <w:r>
        <w:rPr>
          <w:rFonts w:hint="eastAsia" w:ascii="仿宋" w:hAnsi="仿宋" w:eastAsia="仿宋" w:cs="仿宋"/>
          <w:sz w:val="28"/>
          <w:szCs w:val="28"/>
          <w:lang w:val="en-US" w:eastAsia="zh-CN"/>
        </w:rPr>
        <w:t>年</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pacing w:val="-17"/>
          <w:sz w:val="28"/>
          <w:szCs w:val="28"/>
        </w:rPr>
        <w:t>月</w:t>
      </w:r>
      <w:r>
        <w:rPr>
          <w:rFonts w:hint="eastAsia" w:ascii="仿宋" w:hAnsi="仿宋" w:eastAsia="仿宋" w:cs="仿宋"/>
          <w:spacing w:val="69"/>
          <w:sz w:val="28"/>
          <w:szCs w:val="28"/>
        </w:rPr>
        <w:t xml:space="preserve"> </w:t>
      </w:r>
      <w:r>
        <w:rPr>
          <w:rFonts w:hint="eastAsia" w:ascii="仿宋" w:hAnsi="仿宋" w:eastAsia="仿宋" w:cs="仿宋"/>
          <w:spacing w:val="69"/>
          <w:sz w:val="28"/>
          <w:szCs w:val="28"/>
          <w:lang w:val="en-US" w:eastAsia="zh-CN"/>
        </w:rPr>
        <w:t xml:space="preserve">  </w:t>
      </w:r>
      <w:r>
        <w:rPr>
          <w:rFonts w:hint="eastAsia" w:ascii="仿宋" w:hAnsi="仿宋" w:eastAsia="仿宋" w:cs="仿宋"/>
          <w:spacing w:val="96"/>
          <w:sz w:val="28"/>
          <w:szCs w:val="28"/>
        </w:rPr>
        <w:t xml:space="preserve"> </w:t>
      </w:r>
      <w:r>
        <w:rPr>
          <w:rFonts w:hint="eastAsia" w:ascii="仿宋" w:hAnsi="仿宋" w:eastAsia="仿宋" w:cs="仿宋"/>
          <w:spacing w:val="-17"/>
          <w:sz w:val="28"/>
          <w:szCs w:val="28"/>
        </w:rPr>
        <w:t>日</w:t>
      </w:r>
    </w:p>
    <w:p w14:paraId="0281D6EE">
      <w:pPr>
        <w:spacing w:line="259" w:lineRule="auto"/>
        <w:rPr>
          <w:rFonts w:hint="eastAsia" w:ascii="仿宋" w:hAnsi="仿宋" w:eastAsia="仿宋" w:cs="仿宋"/>
          <w:sz w:val="28"/>
          <w:szCs w:val="28"/>
        </w:rPr>
      </w:pPr>
    </w:p>
    <w:p w14:paraId="46147577">
      <w:pPr>
        <w:spacing w:line="260" w:lineRule="auto"/>
        <w:rPr>
          <w:rFonts w:hint="eastAsia" w:ascii="仿宋" w:hAnsi="仿宋" w:eastAsia="仿宋" w:cs="仿宋"/>
          <w:sz w:val="28"/>
          <w:szCs w:val="28"/>
        </w:rPr>
      </w:pPr>
    </w:p>
    <w:p w14:paraId="4E259CC2">
      <w:pPr>
        <w:pStyle w:val="3"/>
        <w:spacing w:before="91" w:line="221" w:lineRule="auto"/>
        <w:ind w:left="549"/>
        <w:rPr>
          <w:rFonts w:hint="eastAsia" w:ascii="仿宋" w:hAnsi="仿宋" w:eastAsia="仿宋" w:cs="仿宋"/>
          <w:spacing w:val="27"/>
          <w:sz w:val="28"/>
          <w:szCs w:val="28"/>
        </w:rPr>
      </w:pPr>
      <w:r>
        <w:rPr>
          <w:rFonts w:hint="eastAsia" w:ascii="仿宋" w:hAnsi="仿宋" w:eastAsia="仿宋" w:cs="仿宋"/>
          <w:spacing w:val="27"/>
          <w:sz w:val="28"/>
          <w:szCs w:val="28"/>
        </w:rPr>
        <w:t>乙方(盖章):【成都巨蓉之星物业服务有限公</w:t>
      </w:r>
      <w:r>
        <w:rPr>
          <w:rFonts w:hint="eastAsia" w:ascii="仿宋" w:hAnsi="仿宋" w:eastAsia="仿宋" w:cs="仿宋"/>
          <w:spacing w:val="27"/>
          <w:sz w:val="28"/>
          <w:szCs w:val="28"/>
          <w:lang w:val="en-US" w:eastAsia="zh-CN"/>
        </w:rPr>
        <w:t>司</w:t>
      </w:r>
      <w:r>
        <w:rPr>
          <w:rFonts w:hint="eastAsia" w:ascii="仿宋" w:hAnsi="仿宋" w:eastAsia="仿宋" w:cs="仿宋"/>
          <w:spacing w:val="27"/>
          <w:sz w:val="28"/>
          <w:szCs w:val="28"/>
        </w:rPr>
        <w:t xml:space="preserve">】 </w:t>
      </w:r>
    </w:p>
    <w:p w14:paraId="5E7DDE06">
      <w:pPr>
        <w:pStyle w:val="3"/>
        <w:spacing w:before="91" w:line="221" w:lineRule="auto"/>
        <w:ind w:left="549"/>
        <w:rPr>
          <w:rFonts w:hint="eastAsia" w:ascii="仿宋" w:hAnsi="仿宋" w:eastAsia="仿宋" w:cs="仿宋"/>
          <w:spacing w:val="27"/>
          <w:sz w:val="28"/>
          <w:szCs w:val="28"/>
        </w:rPr>
      </w:pPr>
      <w:r>
        <w:rPr>
          <w:rFonts w:hint="eastAsia" w:ascii="仿宋" w:hAnsi="仿宋" w:eastAsia="仿宋" w:cs="仿宋"/>
          <w:spacing w:val="27"/>
          <w:sz w:val="28"/>
          <w:szCs w:val="28"/>
        </w:rPr>
        <w:t>法定代表人或授权代表(签字):</w:t>
      </w:r>
    </w:p>
    <w:p w14:paraId="5705DB2D">
      <w:pPr>
        <w:pStyle w:val="3"/>
        <w:spacing w:before="91" w:line="221" w:lineRule="auto"/>
        <w:ind w:left="549"/>
        <w:rPr>
          <w:rFonts w:hint="eastAsia" w:ascii="仿宋" w:hAnsi="仿宋" w:eastAsia="仿宋" w:cs="仿宋"/>
          <w:spacing w:val="27"/>
          <w:sz w:val="28"/>
          <w:szCs w:val="28"/>
        </w:rPr>
      </w:pPr>
    </w:p>
    <w:p w14:paraId="1F145E8C">
      <w:pPr>
        <w:pStyle w:val="3"/>
        <w:spacing w:before="91" w:line="221" w:lineRule="auto"/>
        <w:ind w:firstLine="2338" w:firstLineChars="700"/>
        <w:rPr>
          <w:rFonts w:hint="eastAsia" w:ascii="仿宋" w:hAnsi="仿宋" w:eastAsia="仿宋" w:cs="仿宋"/>
          <w:spacing w:val="27"/>
          <w:sz w:val="28"/>
          <w:szCs w:val="28"/>
        </w:rPr>
      </w:pPr>
      <w:r>
        <w:rPr>
          <w:rFonts w:hint="eastAsia" w:ascii="仿宋" w:hAnsi="仿宋" w:eastAsia="仿宋" w:cs="仿宋"/>
          <w:spacing w:val="27"/>
          <w:sz w:val="28"/>
          <w:szCs w:val="28"/>
        </w:rPr>
        <w:t xml:space="preserve">年    月  </w:t>
      </w:r>
      <w:r>
        <w:rPr>
          <w:rFonts w:hint="eastAsia" w:cs="仿宋"/>
          <w:spacing w:val="27"/>
          <w:sz w:val="28"/>
          <w:szCs w:val="28"/>
          <w:lang w:val="en-US" w:eastAsia="zh-CN"/>
        </w:rPr>
        <w:t xml:space="preserve">  日</w:t>
      </w:r>
      <w:r>
        <w:rPr>
          <w:rFonts w:hint="eastAsia" w:ascii="仿宋" w:hAnsi="仿宋" w:eastAsia="仿宋" w:cs="仿宋"/>
          <w:spacing w:val="27"/>
          <w:sz w:val="28"/>
          <w:szCs w:val="28"/>
        </w:rPr>
        <w:t xml:space="preserve">   </w:t>
      </w:r>
    </w:p>
    <w:p w14:paraId="22BEE209">
      <w:pPr>
        <w:spacing w:line="248" w:lineRule="auto"/>
        <w:rPr>
          <w:rFonts w:hint="eastAsia" w:ascii="Arial"/>
          <w:sz w:val="21"/>
          <w:lang w:val="en-US" w:eastAsia="zh-CN"/>
        </w:rPr>
      </w:pPr>
    </w:p>
    <w:p w14:paraId="263CA7FC">
      <w:pPr>
        <w:spacing w:line="248" w:lineRule="auto"/>
        <w:rPr>
          <w:rFonts w:hint="eastAsia" w:ascii="Arial"/>
          <w:sz w:val="21"/>
          <w:lang w:val="en-US" w:eastAsia="zh-CN"/>
        </w:rPr>
      </w:pPr>
    </w:p>
    <w:p w14:paraId="055C7045">
      <w:pPr>
        <w:spacing w:line="248" w:lineRule="auto"/>
        <w:rPr>
          <w:rFonts w:hint="eastAsia" w:ascii="Arial"/>
          <w:sz w:val="21"/>
          <w:lang w:val="en-US" w:eastAsia="zh-CN"/>
        </w:rPr>
      </w:pPr>
    </w:p>
    <w:p w14:paraId="72F003B6">
      <w:pPr>
        <w:spacing w:line="248" w:lineRule="auto"/>
        <w:rPr>
          <w:rFonts w:hint="eastAsia" w:ascii="Arial"/>
          <w:sz w:val="21"/>
          <w:lang w:val="en-US" w:eastAsia="zh-CN"/>
        </w:rPr>
      </w:pPr>
    </w:p>
    <w:p w14:paraId="0089059C">
      <w:pPr>
        <w:spacing w:line="248" w:lineRule="auto"/>
        <w:rPr>
          <w:rFonts w:hint="eastAsia" w:ascii="Arial"/>
          <w:sz w:val="21"/>
          <w:lang w:val="en-US" w:eastAsia="zh-CN"/>
        </w:rPr>
      </w:pPr>
    </w:p>
    <w:p w14:paraId="753AB364">
      <w:pPr>
        <w:spacing w:line="248" w:lineRule="auto"/>
        <w:rPr>
          <w:rFonts w:hint="eastAsia" w:ascii="Arial"/>
          <w:sz w:val="21"/>
          <w:lang w:val="en-US" w:eastAsia="zh-CN"/>
        </w:rPr>
      </w:pPr>
    </w:p>
    <w:p w14:paraId="7461F42A">
      <w:pPr>
        <w:spacing w:line="248" w:lineRule="auto"/>
        <w:rPr>
          <w:rFonts w:hint="eastAsia" w:ascii="Arial"/>
          <w:sz w:val="21"/>
          <w:lang w:val="en-US" w:eastAsia="zh-CN"/>
        </w:rPr>
      </w:pPr>
    </w:p>
    <w:p w14:paraId="3319C32F">
      <w:pPr>
        <w:spacing w:line="248" w:lineRule="auto"/>
        <w:rPr>
          <w:rFonts w:hint="eastAsia" w:ascii="Arial"/>
          <w:sz w:val="21"/>
          <w:lang w:val="en-US" w:eastAsia="zh-CN"/>
        </w:rPr>
      </w:pPr>
    </w:p>
    <w:p w14:paraId="431FD059">
      <w:pPr>
        <w:spacing w:line="248" w:lineRule="auto"/>
        <w:rPr>
          <w:rFonts w:hint="eastAsia" w:ascii="Arial"/>
          <w:sz w:val="21"/>
          <w:lang w:val="en-US" w:eastAsia="zh-CN"/>
        </w:rPr>
      </w:pPr>
    </w:p>
    <w:p w14:paraId="7D7843BE">
      <w:pPr>
        <w:spacing w:line="248" w:lineRule="auto"/>
        <w:rPr>
          <w:rFonts w:hint="eastAsia" w:ascii="Arial"/>
          <w:sz w:val="21"/>
          <w:lang w:val="en-US" w:eastAsia="zh-CN"/>
        </w:rPr>
      </w:pPr>
    </w:p>
    <w:p w14:paraId="62027DDB">
      <w:pPr>
        <w:spacing w:line="248" w:lineRule="auto"/>
        <w:rPr>
          <w:rFonts w:hint="eastAsia" w:ascii="Arial"/>
          <w:sz w:val="21"/>
          <w:lang w:val="en-US" w:eastAsia="zh-CN"/>
        </w:rPr>
      </w:pPr>
    </w:p>
    <w:p w14:paraId="236BC6BD">
      <w:pPr>
        <w:outlineLvl w:val="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附件：云南国土资源职业学院水电维修服务检查考核评分表</w:t>
      </w:r>
    </w:p>
    <w:tbl>
      <w:tblPr>
        <w:tblStyle w:val="5"/>
        <w:tblpPr w:leftFromText="180" w:rightFromText="180" w:vertAnchor="text" w:horzAnchor="page" w:tblpX="960" w:tblpY="1039"/>
        <w:tblOverlap w:val="never"/>
        <w:tblW w:w="103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5"/>
        <w:gridCol w:w="578"/>
        <w:gridCol w:w="3807"/>
        <w:gridCol w:w="3220"/>
        <w:gridCol w:w="1740"/>
      </w:tblGrid>
      <w:tr w14:paraId="19D80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975" w:type="dxa"/>
            <w:tcBorders>
              <w:tl2br w:val="nil"/>
              <w:tr2bl w:val="nil"/>
            </w:tcBorders>
            <w:noWrap w:val="0"/>
            <w:vAlign w:val="center"/>
          </w:tcPr>
          <w:p w14:paraId="2E08ADA7">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项目</w:t>
            </w:r>
          </w:p>
        </w:tc>
        <w:tc>
          <w:tcPr>
            <w:tcW w:w="578" w:type="dxa"/>
            <w:tcBorders>
              <w:tl2br w:val="nil"/>
              <w:tr2bl w:val="nil"/>
            </w:tcBorders>
            <w:noWrap w:val="0"/>
            <w:vAlign w:val="center"/>
          </w:tcPr>
          <w:p w14:paraId="58451AE5">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分值</w:t>
            </w:r>
          </w:p>
        </w:tc>
        <w:tc>
          <w:tcPr>
            <w:tcW w:w="3807" w:type="dxa"/>
            <w:tcBorders>
              <w:tl2br w:val="nil"/>
              <w:tr2bl w:val="nil"/>
            </w:tcBorders>
            <w:noWrap w:val="0"/>
            <w:vAlign w:val="center"/>
          </w:tcPr>
          <w:p w14:paraId="2A397DC7">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检查考核内容及要求</w:t>
            </w:r>
          </w:p>
        </w:tc>
        <w:tc>
          <w:tcPr>
            <w:tcW w:w="3220" w:type="dxa"/>
            <w:tcBorders>
              <w:tl2br w:val="nil"/>
              <w:tr2bl w:val="nil"/>
            </w:tcBorders>
            <w:noWrap w:val="0"/>
            <w:vAlign w:val="center"/>
          </w:tcPr>
          <w:p w14:paraId="579AEB42">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检查考核评分标准</w:t>
            </w:r>
          </w:p>
        </w:tc>
        <w:tc>
          <w:tcPr>
            <w:tcW w:w="1740" w:type="dxa"/>
            <w:tcBorders>
              <w:tl2br w:val="nil"/>
              <w:tr2bl w:val="nil"/>
            </w:tcBorders>
            <w:noWrap w:val="0"/>
            <w:vAlign w:val="center"/>
          </w:tcPr>
          <w:p w14:paraId="64FEDB80">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得分</w:t>
            </w:r>
          </w:p>
        </w:tc>
      </w:tr>
      <w:tr w14:paraId="021D5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975" w:type="dxa"/>
            <w:vMerge w:val="restart"/>
            <w:tcBorders>
              <w:tl2br w:val="nil"/>
              <w:tr2bl w:val="nil"/>
            </w:tcBorders>
            <w:noWrap w:val="0"/>
            <w:vAlign w:val="center"/>
          </w:tcPr>
          <w:p w14:paraId="5E86D565">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服务的开展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组织</w:t>
            </w:r>
            <w:r>
              <w:rPr>
                <w:rFonts w:hint="eastAsia" w:ascii="宋体" w:hAnsi="宋体" w:eastAsia="宋体" w:cs="宋体"/>
                <w:sz w:val="21"/>
                <w:szCs w:val="21"/>
                <w:highlight w:val="none"/>
                <w:lang w:val="en-US" w:eastAsia="zh-CN"/>
              </w:rPr>
              <w:t>及整改</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rPr>
              <w:t>分）</w:t>
            </w:r>
          </w:p>
        </w:tc>
        <w:tc>
          <w:tcPr>
            <w:tcW w:w="578" w:type="dxa"/>
            <w:tcBorders>
              <w:tl2br w:val="nil"/>
              <w:tr2bl w:val="nil"/>
            </w:tcBorders>
            <w:noWrap w:val="0"/>
            <w:vAlign w:val="center"/>
          </w:tcPr>
          <w:p w14:paraId="7CF5BC8F">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07" w:type="dxa"/>
            <w:tcBorders>
              <w:tl2br w:val="nil"/>
              <w:tr2bl w:val="nil"/>
            </w:tcBorders>
            <w:noWrap w:val="0"/>
            <w:vAlign w:val="center"/>
          </w:tcPr>
          <w:p w14:paraId="5B16D48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人员持证情况</w:t>
            </w:r>
          </w:p>
        </w:tc>
        <w:tc>
          <w:tcPr>
            <w:tcW w:w="3220" w:type="dxa"/>
            <w:tcBorders>
              <w:tl2br w:val="nil"/>
              <w:tr2bl w:val="nil"/>
            </w:tcBorders>
            <w:noWrap w:val="0"/>
            <w:vAlign w:val="center"/>
          </w:tcPr>
          <w:p w14:paraId="4A0BCD7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检查时未完成一项扣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4C14F59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2E00C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975" w:type="dxa"/>
            <w:vMerge w:val="continue"/>
            <w:tcBorders>
              <w:tl2br w:val="nil"/>
              <w:tr2bl w:val="nil"/>
            </w:tcBorders>
            <w:noWrap w:val="0"/>
            <w:vAlign w:val="center"/>
          </w:tcPr>
          <w:p w14:paraId="3045711A">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25701044">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3807" w:type="dxa"/>
            <w:tcBorders>
              <w:tl2br w:val="nil"/>
              <w:tr2bl w:val="nil"/>
            </w:tcBorders>
            <w:noWrap w:val="0"/>
            <w:vAlign w:val="center"/>
          </w:tcPr>
          <w:p w14:paraId="3C9E660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维修整改：维修不及时、维修质量差、书面整改。</w:t>
            </w:r>
          </w:p>
        </w:tc>
        <w:tc>
          <w:tcPr>
            <w:tcW w:w="3220" w:type="dxa"/>
            <w:tcBorders>
              <w:tl2br w:val="nil"/>
              <w:tr2bl w:val="nil"/>
            </w:tcBorders>
            <w:noWrap w:val="0"/>
            <w:vAlign w:val="center"/>
          </w:tcPr>
          <w:p w14:paraId="6D6AAE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检查时未完成一项扣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014F32F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3221C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975" w:type="dxa"/>
            <w:vMerge w:val="continue"/>
            <w:tcBorders>
              <w:tl2br w:val="nil"/>
              <w:tr2bl w:val="nil"/>
            </w:tcBorders>
            <w:noWrap w:val="0"/>
            <w:vAlign w:val="center"/>
          </w:tcPr>
          <w:p w14:paraId="0D6FB4AF">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0571285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3807" w:type="dxa"/>
            <w:tcBorders>
              <w:tl2br w:val="nil"/>
              <w:tr2bl w:val="nil"/>
            </w:tcBorders>
            <w:noWrap w:val="0"/>
            <w:vAlign w:val="center"/>
          </w:tcPr>
          <w:p w14:paraId="7ADB632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工作计划落实情况</w:t>
            </w:r>
          </w:p>
        </w:tc>
        <w:tc>
          <w:tcPr>
            <w:tcW w:w="3220" w:type="dxa"/>
            <w:tcBorders>
              <w:tl2br w:val="nil"/>
              <w:tr2bl w:val="nil"/>
            </w:tcBorders>
            <w:noWrap w:val="0"/>
            <w:vAlign w:val="center"/>
          </w:tcPr>
          <w:p w14:paraId="20E9AE8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检查时未完成一项扣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00E2D2F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highlight w:val="none"/>
                <w:lang w:val="en-US" w:eastAsia="zh-CN"/>
              </w:rPr>
            </w:pPr>
          </w:p>
        </w:tc>
      </w:tr>
      <w:tr w14:paraId="0395C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975" w:type="dxa"/>
            <w:vMerge w:val="continue"/>
            <w:tcBorders>
              <w:tl2br w:val="nil"/>
              <w:tr2bl w:val="nil"/>
            </w:tcBorders>
            <w:noWrap w:val="0"/>
            <w:vAlign w:val="center"/>
          </w:tcPr>
          <w:p w14:paraId="796D8E2C">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0B42581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3807" w:type="dxa"/>
            <w:tcBorders>
              <w:tl2br w:val="nil"/>
              <w:tr2bl w:val="nil"/>
            </w:tcBorders>
            <w:noWrap w:val="0"/>
            <w:vAlign w:val="center"/>
          </w:tcPr>
          <w:p w14:paraId="7F2A29D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整改事务落实情况</w:t>
            </w:r>
          </w:p>
        </w:tc>
        <w:tc>
          <w:tcPr>
            <w:tcW w:w="3220" w:type="dxa"/>
            <w:tcBorders>
              <w:tl2br w:val="nil"/>
              <w:tr2bl w:val="nil"/>
            </w:tcBorders>
            <w:noWrap w:val="0"/>
            <w:vAlign w:val="center"/>
          </w:tcPr>
          <w:p w14:paraId="5A670A5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检查时未完成一项扣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1233898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195A7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975" w:type="dxa"/>
            <w:vMerge w:val="restart"/>
            <w:tcBorders>
              <w:tl2br w:val="nil"/>
              <w:tr2bl w:val="nil"/>
            </w:tcBorders>
            <w:noWrap w:val="0"/>
            <w:vAlign w:val="center"/>
          </w:tcPr>
          <w:p w14:paraId="59C130BB">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员工精神风貌及服务态度（14分）</w:t>
            </w:r>
          </w:p>
        </w:tc>
        <w:tc>
          <w:tcPr>
            <w:tcW w:w="578" w:type="dxa"/>
            <w:tcBorders>
              <w:tl2br w:val="nil"/>
              <w:tr2bl w:val="nil"/>
            </w:tcBorders>
            <w:noWrap w:val="0"/>
            <w:vAlign w:val="center"/>
          </w:tcPr>
          <w:p w14:paraId="16B99E9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807" w:type="dxa"/>
            <w:tcBorders>
              <w:tl2br w:val="nil"/>
              <w:tr2bl w:val="nil"/>
            </w:tcBorders>
            <w:noWrap w:val="0"/>
            <w:vAlign w:val="center"/>
          </w:tcPr>
          <w:p w14:paraId="2592578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1、形象要求：工作人员统一着制服，服装整洁，佩戴工作牌，登高作业时佩戴安全帽。</w:t>
            </w:r>
          </w:p>
        </w:tc>
        <w:tc>
          <w:tcPr>
            <w:tcW w:w="3220" w:type="dxa"/>
            <w:tcBorders>
              <w:tl2br w:val="nil"/>
              <w:tr2bl w:val="nil"/>
            </w:tcBorders>
            <w:noWrap w:val="0"/>
            <w:vAlign w:val="center"/>
          </w:tcPr>
          <w:p w14:paraId="0F9476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检查时出现一人次扣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21822DF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06C38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75" w:type="dxa"/>
            <w:vMerge w:val="continue"/>
            <w:tcBorders>
              <w:tl2br w:val="nil"/>
              <w:tr2bl w:val="nil"/>
            </w:tcBorders>
            <w:noWrap w:val="0"/>
            <w:vAlign w:val="center"/>
          </w:tcPr>
          <w:p w14:paraId="18CB2334">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19283FA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807" w:type="dxa"/>
            <w:tcBorders>
              <w:tl2br w:val="nil"/>
              <w:tr2bl w:val="nil"/>
            </w:tcBorders>
            <w:noWrap w:val="0"/>
            <w:vAlign w:val="center"/>
          </w:tcPr>
          <w:p w14:paraId="606AF68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2、精神风貌：精神饱满、热情服务。</w:t>
            </w:r>
          </w:p>
        </w:tc>
        <w:tc>
          <w:tcPr>
            <w:tcW w:w="3220" w:type="dxa"/>
            <w:tcBorders>
              <w:tl2br w:val="nil"/>
              <w:tr2bl w:val="nil"/>
            </w:tcBorders>
            <w:noWrap w:val="0"/>
            <w:vAlign w:val="center"/>
          </w:tcPr>
          <w:p w14:paraId="0E637E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检查时每出现一项不合格扣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6F4A5E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7036A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trPr>
        <w:tc>
          <w:tcPr>
            <w:tcW w:w="975" w:type="dxa"/>
            <w:vMerge w:val="continue"/>
            <w:tcBorders>
              <w:tl2br w:val="nil"/>
              <w:tr2bl w:val="nil"/>
            </w:tcBorders>
            <w:noWrap w:val="0"/>
            <w:vAlign w:val="center"/>
          </w:tcPr>
          <w:p w14:paraId="03A1C796">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4E275CD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807" w:type="dxa"/>
            <w:tcBorders>
              <w:tl2br w:val="nil"/>
              <w:tr2bl w:val="nil"/>
            </w:tcBorders>
            <w:noWrap w:val="0"/>
            <w:vAlign w:val="center"/>
          </w:tcPr>
          <w:p w14:paraId="61E5BFB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3、服务态度：能主动为师生提供满意的服务，无师生对服务态度的重大投诉。</w:t>
            </w:r>
          </w:p>
        </w:tc>
        <w:tc>
          <w:tcPr>
            <w:tcW w:w="3220" w:type="dxa"/>
            <w:tcBorders>
              <w:tl2br w:val="nil"/>
              <w:tr2bl w:val="nil"/>
            </w:tcBorders>
            <w:noWrap w:val="0"/>
            <w:vAlign w:val="center"/>
          </w:tcPr>
          <w:p w14:paraId="6B8807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每有一次重大投诉扣1分</w:t>
            </w:r>
          </w:p>
        </w:tc>
        <w:tc>
          <w:tcPr>
            <w:tcW w:w="1740" w:type="dxa"/>
            <w:tcBorders>
              <w:tl2br w:val="nil"/>
              <w:tr2bl w:val="nil"/>
            </w:tcBorders>
            <w:noWrap w:val="0"/>
            <w:vAlign w:val="center"/>
          </w:tcPr>
          <w:p w14:paraId="74C5D5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3DF7E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975" w:type="dxa"/>
            <w:vMerge w:val="continue"/>
            <w:tcBorders>
              <w:tl2br w:val="nil"/>
              <w:tr2bl w:val="nil"/>
            </w:tcBorders>
            <w:noWrap w:val="0"/>
            <w:vAlign w:val="center"/>
          </w:tcPr>
          <w:p w14:paraId="65F986FE">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2F975DC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807" w:type="dxa"/>
            <w:tcBorders>
              <w:tl2br w:val="nil"/>
              <w:tr2bl w:val="nil"/>
            </w:tcBorders>
            <w:noWrap w:val="0"/>
            <w:vAlign w:val="center"/>
          </w:tcPr>
          <w:p w14:paraId="516FD19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4、遵守学校规章制度：无员工违章违纪事件发生。</w:t>
            </w:r>
          </w:p>
        </w:tc>
        <w:tc>
          <w:tcPr>
            <w:tcW w:w="3220" w:type="dxa"/>
            <w:tcBorders>
              <w:tl2br w:val="nil"/>
              <w:tr2bl w:val="nil"/>
            </w:tcBorders>
            <w:noWrap w:val="0"/>
            <w:vAlign w:val="center"/>
          </w:tcPr>
          <w:p w14:paraId="3A8C2D2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每有一次扣1分</w:t>
            </w:r>
          </w:p>
        </w:tc>
        <w:tc>
          <w:tcPr>
            <w:tcW w:w="1740" w:type="dxa"/>
            <w:tcBorders>
              <w:tl2br w:val="nil"/>
              <w:tr2bl w:val="nil"/>
            </w:tcBorders>
            <w:noWrap w:val="0"/>
            <w:vAlign w:val="center"/>
          </w:tcPr>
          <w:p w14:paraId="66E6E0D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70B58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trPr>
        <w:tc>
          <w:tcPr>
            <w:tcW w:w="975" w:type="dxa"/>
            <w:vMerge w:val="continue"/>
            <w:tcBorders>
              <w:tl2br w:val="nil"/>
              <w:tr2bl w:val="nil"/>
            </w:tcBorders>
            <w:noWrap w:val="0"/>
            <w:vAlign w:val="center"/>
          </w:tcPr>
          <w:p w14:paraId="594B98CE">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512FCBC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807" w:type="dxa"/>
            <w:tcBorders>
              <w:tl2br w:val="nil"/>
              <w:tr2bl w:val="nil"/>
            </w:tcBorders>
            <w:noWrap w:val="0"/>
            <w:vAlign w:val="center"/>
          </w:tcPr>
          <w:p w14:paraId="519D7BD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5、日常回访：每周与学校有关部门进行1次回访，对管理中发现的问题及时上报，无隐瞒现象，对学校提出的问题及时整改。</w:t>
            </w:r>
          </w:p>
        </w:tc>
        <w:tc>
          <w:tcPr>
            <w:tcW w:w="3220" w:type="dxa"/>
            <w:tcBorders>
              <w:tl2br w:val="nil"/>
              <w:tr2bl w:val="nil"/>
            </w:tcBorders>
            <w:noWrap w:val="0"/>
            <w:vAlign w:val="center"/>
          </w:tcPr>
          <w:p w14:paraId="2044323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每次不合格扣1分</w:t>
            </w:r>
          </w:p>
        </w:tc>
        <w:tc>
          <w:tcPr>
            <w:tcW w:w="1740" w:type="dxa"/>
            <w:tcBorders>
              <w:tl2br w:val="nil"/>
              <w:tr2bl w:val="nil"/>
            </w:tcBorders>
            <w:noWrap w:val="0"/>
            <w:vAlign w:val="center"/>
          </w:tcPr>
          <w:p w14:paraId="0AB352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2B993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6" w:hRule="atLeast"/>
        </w:trPr>
        <w:tc>
          <w:tcPr>
            <w:tcW w:w="975" w:type="dxa"/>
            <w:vMerge w:val="continue"/>
            <w:tcBorders>
              <w:tl2br w:val="nil"/>
              <w:tr2bl w:val="nil"/>
            </w:tcBorders>
            <w:noWrap w:val="0"/>
            <w:vAlign w:val="center"/>
          </w:tcPr>
          <w:p w14:paraId="6F62B13F">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3CA5CCF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807" w:type="dxa"/>
            <w:tcBorders>
              <w:tl2br w:val="nil"/>
              <w:tr2bl w:val="nil"/>
            </w:tcBorders>
            <w:noWrap w:val="0"/>
            <w:vAlign w:val="center"/>
          </w:tcPr>
          <w:p w14:paraId="581CBE8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6、定期拜访：每学期1次对学校各学院办公室、各学生组织进行拜访，及时了解师生的需求，对师生提出的问题及时整改。</w:t>
            </w:r>
          </w:p>
        </w:tc>
        <w:tc>
          <w:tcPr>
            <w:tcW w:w="3220" w:type="dxa"/>
            <w:tcBorders>
              <w:tl2br w:val="nil"/>
              <w:tr2bl w:val="nil"/>
            </w:tcBorders>
            <w:noWrap w:val="0"/>
            <w:vAlign w:val="center"/>
          </w:tcPr>
          <w:p w14:paraId="075840D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每次不合格扣1分</w:t>
            </w:r>
          </w:p>
        </w:tc>
        <w:tc>
          <w:tcPr>
            <w:tcW w:w="1740" w:type="dxa"/>
            <w:tcBorders>
              <w:tl2br w:val="nil"/>
              <w:tr2bl w:val="nil"/>
            </w:tcBorders>
            <w:noWrap w:val="0"/>
            <w:vAlign w:val="center"/>
          </w:tcPr>
          <w:p w14:paraId="69200C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7254A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9" w:hRule="atLeast"/>
        </w:trPr>
        <w:tc>
          <w:tcPr>
            <w:tcW w:w="975" w:type="dxa"/>
            <w:vMerge w:val="continue"/>
            <w:tcBorders>
              <w:tl2br w:val="nil"/>
              <w:tr2bl w:val="nil"/>
            </w:tcBorders>
            <w:noWrap w:val="0"/>
            <w:vAlign w:val="center"/>
          </w:tcPr>
          <w:p w14:paraId="72CAC9A2">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30FAE4F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807" w:type="dxa"/>
            <w:tcBorders>
              <w:tl2br w:val="nil"/>
              <w:tr2bl w:val="nil"/>
            </w:tcBorders>
            <w:noWrap w:val="0"/>
            <w:vAlign w:val="center"/>
          </w:tcPr>
          <w:p w14:paraId="6D52C5F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7、满意度调查：每学期进行1次满意度调查（调查问卷每次不少于200份，并提交相应的材料至管理部门备案），对师生提出的建议、意见应给予解决及回复。</w:t>
            </w:r>
          </w:p>
        </w:tc>
        <w:tc>
          <w:tcPr>
            <w:tcW w:w="3220" w:type="dxa"/>
            <w:tcBorders>
              <w:tl2br w:val="nil"/>
              <w:tr2bl w:val="nil"/>
            </w:tcBorders>
            <w:noWrap w:val="0"/>
            <w:vAlign w:val="center"/>
          </w:tcPr>
          <w:p w14:paraId="3D3788D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问卷调查中，满意度低于90%，百分点每低于1%，扣1分</w:t>
            </w:r>
          </w:p>
        </w:tc>
        <w:tc>
          <w:tcPr>
            <w:tcW w:w="1740" w:type="dxa"/>
            <w:tcBorders>
              <w:tl2br w:val="nil"/>
              <w:tr2bl w:val="nil"/>
            </w:tcBorders>
            <w:noWrap w:val="0"/>
            <w:vAlign w:val="center"/>
          </w:tcPr>
          <w:p w14:paraId="5B2843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17465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975" w:type="dxa"/>
            <w:vMerge w:val="restart"/>
            <w:tcBorders>
              <w:tl2br w:val="nil"/>
              <w:tr2bl w:val="nil"/>
            </w:tcBorders>
            <w:noWrap w:val="0"/>
            <w:vAlign w:val="center"/>
          </w:tcPr>
          <w:p w14:paraId="7CD051D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供电、照明（1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tc>
        <w:tc>
          <w:tcPr>
            <w:tcW w:w="578" w:type="dxa"/>
            <w:tcBorders>
              <w:tl2br w:val="nil"/>
              <w:tr2bl w:val="nil"/>
            </w:tcBorders>
            <w:noWrap w:val="0"/>
            <w:vAlign w:val="center"/>
          </w:tcPr>
          <w:p w14:paraId="3EBA5577">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lang w:val="en-US" w:eastAsia="zh-CN" w:bidi="ar"/>
              </w:rPr>
              <w:t>4</w:t>
            </w:r>
          </w:p>
        </w:tc>
        <w:tc>
          <w:tcPr>
            <w:tcW w:w="3807" w:type="dxa"/>
            <w:tcBorders>
              <w:tl2br w:val="nil"/>
              <w:tr2bl w:val="nil"/>
            </w:tcBorders>
            <w:noWrap w:val="0"/>
            <w:vAlign w:val="center"/>
          </w:tcPr>
          <w:p w14:paraId="70F0F7C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1、随坏随修，保证供电正常、照明设施正常、无用电安全隐患。</w:t>
            </w:r>
          </w:p>
        </w:tc>
        <w:tc>
          <w:tcPr>
            <w:tcW w:w="3220" w:type="dxa"/>
            <w:tcBorders>
              <w:tl2br w:val="nil"/>
              <w:tr2bl w:val="nil"/>
            </w:tcBorders>
            <w:noWrap w:val="0"/>
            <w:vAlign w:val="center"/>
          </w:tcPr>
          <w:p w14:paraId="79452A7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因乙方原因造成供电不正常，每出现一次扣1分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检查时每发现一次照明不正常扣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检查时每发现一处安全隐患扣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52379376">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425" w:leftChars="0"/>
              <w:jc w:val="both"/>
              <w:textAlignment w:val="auto"/>
              <w:rPr>
                <w:rFonts w:hint="eastAsia" w:ascii="宋体" w:hAnsi="宋体" w:eastAsia="宋体" w:cs="宋体"/>
                <w:b w:val="0"/>
                <w:bCs w:val="0"/>
                <w:sz w:val="18"/>
                <w:szCs w:val="18"/>
                <w:highlight w:val="none"/>
                <w:lang w:val="en-US" w:eastAsia="zh-CN"/>
              </w:rPr>
            </w:pPr>
          </w:p>
        </w:tc>
      </w:tr>
      <w:tr w14:paraId="57096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975" w:type="dxa"/>
            <w:vMerge w:val="continue"/>
            <w:tcBorders>
              <w:tl2br w:val="nil"/>
              <w:tr2bl w:val="nil"/>
            </w:tcBorders>
            <w:noWrap w:val="0"/>
            <w:vAlign w:val="center"/>
          </w:tcPr>
          <w:p w14:paraId="17CA799A">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14950711">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4</w:t>
            </w:r>
          </w:p>
        </w:tc>
        <w:tc>
          <w:tcPr>
            <w:tcW w:w="3807" w:type="dxa"/>
            <w:tcBorders>
              <w:tl2br w:val="nil"/>
              <w:tr2bl w:val="nil"/>
            </w:tcBorders>
            <w:noWrap w:val="0"/>
            <w:vAlign w:val="center"/>
          </w:tcPr>
          <w:p w14:paraId="19D8B75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2、维修当天完成，形成维修记录，修后专人负责维修结果复检、验证。</w:t>
            </w:r>
          </w:p>
        </w:tc>
        <w:tc>
          <w:tcPr>
            <w:tcW w:w="3220" w:type="dxa"/>
            <w:tcBorders>
              <w:tl2br w:val="nil"/>
              <w:tr2bl w:val="nil"/>
            </w:tcBorders>
            <w:noWrap w:val="0"/>
            <w:vAlign w:val="center"/>
          </w:tcPr>
          <w:p w14:paraId="0FA1D0D8">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tc>
        <w:tc>
          <w:tcPr>
            <w:tcW w:w="1740" w:type="dxa"/>
            <w:tcBorders>
              <w:tl2br w:val="nil"/>
              <w:tr2bl w:val="nil"/>
            </w:tcBorders>
            <w:noWrap w:val="0"/>
            <w:vAlign w:val="center"/>
          </w:tcPr>
          <w:p w14:paraId="6E0761E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5E659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975" w:type="dxa"/>
            <w:vMerge w:val="continue"/>
            <w:tcBorders>
              <w:tl2br w:val="nil"/>
              <w:tr2bl w:val="nil"/>
            </w:tcBorders>
            <w:noWrap w:val="0"/>
            <w:vAlign w:val="center"/>
          </w:tcPr>
          <w:p w14:paraId="462EB7A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018731FF">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4</w:t>
            </w:r>
          </w:p>
        </w:tc>
        <w:tc>
          <w:tcPr>
            <w:tcW w:w="3807" w:type="dxa"/>
            <w:tcBorders>
              <w:tl2br w:val="nil"/>
              <w:tr2bl w:val="nil"/>
            </w:tcBorders>
            <w:noWrap w:val="0"/>
            <w:vAlign w:val="center"/>
          </w:tcPr>
          <w:p w14:paraId="762528A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3、维修合格率100%。</w:t>
            </w:r>
          </w:p>
        </w:tc>
        <w:tc>
          <w:tcPr>
            <w:tcW w:w="3220" w:type="dxa"/>
            <w:tcBorders>
              <w:tl2br w:val="nil"/>
              <w:tr2bl w:val="nil"/>
            </w:tcBorders>
            <w:noWrap w:val="0"/>
            <w:vAlign w:val="center"/>
          </w:tcPr>
          <w:p w14:paraId="5A86DD0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合格率百分点每低于1%，扣1分</w:t>
            </w:r>
          </w:p>
        </w:tc>
        <w:tc>
          <w:tcPr>
            <w:tcW w:w="1740" w:type="dxa"/>
            <w:tcBorders>
              <w:tl2br w:val="nil"/>
              <w:tr2bl w:val="nil"/>
            </w:tcBorders>
            <w:noWrap w:val="0"/>
            <w:vAlign w:val="center"/>
          </w:tcPr>
          <w:p w14:paraId="485722E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1E24F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2" w:hRule="atLeast"/>
        </w:trPr>
        <w:tc>
          <w:tcPr>
            <w:tcW w:w="975" w:type="dxa"/>
            <w:vMerge w:val="restart"/>
            <w:tcBorders>
              <w:tl2br w:val="nil"/>
              <w:tr2bl w:val="nil"/>
            </w:tcBorders>
            <w:noWrap w:val="0"/>
            <w:vAlign w:val="center"/>
          </w:tcPr>
          <w:p w14:paraId="0952F16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给水、排水管道（1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tc>
        <w:tc>
          <w:tcPr>
            <w:tcW w:w="578" w:type="dxa"/>
            <w:tcBorders>
              <w:tl2br w:val="nil"/>
              <w:tr2bl w:val="nil"/>
            </w:tcBorders>
            <w:noWrap w:val="0"/>
            <w:vAlign w:val="center"/>
          </w:tcPr>
          <w:p w14:paraId="4A966F61">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w:t>
            </w:r>
          </w:p>
        </w:tc>
        <w:tc>
          <w:tcPr>
            <w:tcW w:w="3807" w:type="dxa"/>
            <w:tcBorders>
              <w:tl2br w:val="nil"/>
              <w:tr2bl w:val="nil"/>
            </w:tcBorders>
            <w:noWrap w:val="0"/>
            <w:vAlign w:val="center"/>
          </w:tcPr>
          <w:p w14:paraId="623555F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1、保证供水正常、排水畅通，疏通给排水管道，杜绝跑、冒、滴、漏、堵、溢现象发生。</w:t>
            </w:r>
          </w:p>
        </w:tc>
        <w:tc>
          <w:tcPr>
            <w:tcW w:w="3220" w:type="dxa"/>
            <w:tcBorders>
              <w:tl2br w:val="nil"/>
              <w:tr2bl w:val="nil"/>
            </w:tcBorders>
            <w:noWrap w:val="0"/>
            <w:vAlign w:val="center"/>
          </w:tcPr>
          <w:p w14:paraId="63F5084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因乙方原因造成供水不正常，每出现一次扣1分</w:t>
            </w:r>
          </w:p>
          <w:p w14:paraId="1DB2813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检查时每发现一次跑、冒、滴、漏、堵、溢现象扣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1EE1017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53AB9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975" w:type="dxa"/>
            <w:vMerge w:val="continue"/>
            <w:tcBorders>
              <w:tl2br w:val="nil"/>
              <w:tr2bl w:val="nil"/>
            </w:tcBorders>
            <w:noWrap w:val="0"/>
            <w:vAlign w:val="center"/>
          </w:tcPr>
          <w:p w14:paraId="338A745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5AB415DE">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4</w:t>
            </w:r>
          </w:p>
        </w:tc>
        <w:tc>
          <w:tcPr>
            <w:tcW w:w="3807" w:type="dxa"/>
            <w:tcBorders>
              <w:tl2br w:val="nil"/>
              <w:tr2bl w:val="nil"/>
            </w:tcBorders>
            <w:noWrap w:val="0"/>
            <w:vAlign w:val="center"/>
          </w:tcPr>
          <w:p w14:paraId="7876567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2、更换零部件材料时保持使用原品牌、原安装规格型号、保持“修旧如旧”的维修标准。</w:t>
            </w:r>
          </w:p>
        </w:tc>
        <w:tc>
          <w:tcPr>
            <w:tcW w:w="3220" w:type="dxa"/>
            <w:tcBorders>
              <w:tl2br w:val="nil"/>
              <w:tr2bl w:val="nil"/>
            </w:tcBorders>
            <w:noWrap w:val="0"/>
            <w:vAlign w:val="center"/>
          </w:tcPr>
          <w:p w14:paraId="7B35AE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分（原品牌、原安装规格型号停产的除外）</w:t>
            </w:r>
          </w:p>
        </w:tc>
        <w:tc>
          <w:tcPr>
            <w:tcW w:w="1740" w:type="dxa"/>
            <w:tcBorders>
              <w:tl2br w:val="nil"/>
              <w:tr2bl w:val="nil"/>
            </w:tcBorders>
            <w:noWrap w:val="0"/>
            <w:vAlign w:val="center"/>
          </w:tcPr>
          <w:p w14:paraId="7788013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3B7D8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975" w:type="dxa"/>
            <w:vMerge w:val="continue"/>
            <w:tcBorders>
              <w:tl2br w:val="nil"/>
              <w:tr2bl w:val="nil"/>
            </w:tcBorders>
            <w:noWrap w:val="0"/>
            <w:vAlign w:val="center"/>
          </w:tcPr>
          <w:p w14:paraId="280D13B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36B095F4">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4</w:t>
            </w:r>
          </w:p>
        </w:tc>
        <w:tc>
          <w:tcPr>
            <w:tcW w:w="3807" w:type="dxa"/>
            <w:tcBorders>
              <w:tl2br w:val="nil"/>
              <w:tr2bl w:val="nil"/>
            </w:tcBorders>
            <w:noWrap w:val="0"/>
            <w:vAlign w:val="center"/>
          </w:tcPr>
          <w:p w14:paraId="65CF842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3、在设施发生损坏或接到报修时，维修人员在20分钟内展开维修，一般小型维修必须在当天内完成。</w:t>
            </w:r>
          </w:p>
        </w:tc>
        <w:tc>
          <w:tcPr>
            <w:tcW w:w="3220" w:type="dxa"/>
            <w:tcBorders>
              <w:tl2br w:val="nil"/>
              <w:tr2bl w:val="nil"/>
            </w:tcBorders>
            <w:noWrap w:val="0"/>
            <w:vAlign w:val="center"/>
          </w:tcPr>
          <w:p w14:paraId="2DF737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检查时每发现一次超时扣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14:paraId="24E770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检查时每发现一次当天未完成维修的扣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15E1869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1DD54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975" w:type="dxa"/>
            <w:vMerge w:val="restart"/>
            <w:tcBorders>
              <w:tl2br w:val="nil"/>
              <w:tr2bl w:val="nil"/>
            </w:tcBorders>
            <w:noWrap w:val="0"/>
            <w:vAlign w:val="center"/>
          </w:tcPr>
          <w:p w14:paraId="211855AA">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卫生间设施（1</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tc>
        <w:tc>
          <w:tcPr>
            <w:tcW w:w="578" w:type="dxa"/>
            <w:tcBorders>
              <w:tl2br w:val="nil"/>
              <w:tr2bl w:val="nil"/>
            </w:tcBorders>
            <w:noWrap w:val="0"/>
            <w:vAlign w:val="center"/>
          </w:tcPr>
          <w:p w14:paraId="37FB3787">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3807" w:type="dxa"/>
            <w:tcBorders>
              <w:tl2br w:val="nil"/>
              <w:tr2bl w:val="nil"/>
            </w:tcBorders>
            <w:noWrap w:val="0"/>
            <w:vAlign w:val="center"/>
          </w:tcPr>
          <w:p w14:paraId="0CFD198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1、水暖卫生设施均能正常使用、发挥正常功能，经常检查、调整冲水阀、下水器、洁具，无滴、漏、堵、溢现象发生。</w:t>
            </w:r>
          </w:p>
        </w:tc>
        <w:tc>
          <w:tcPr>
            <w:tcW w:w="3220" w:type="dxa"/>
            <w:tcBorders>
              <w:tl2br w:val="nil"/>
              <w:tr2bl w:val="nil"/>
            </w:tcBorders>
            <w:noWrap w:val="0"/>
            <w:vAlign w:val="center"/>
          </w:tcPr>
          <w:p w14:paraId="01BF77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检查时每发现一次水暖卫生设施不能正常使用的扣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14:paraId="32FB5B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检查时每发现一次滴、漏、堵、溢现象扣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33C2F5D0">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425" w:leftChars="0"/>
              <w:jc w:val="both"/>
              <w:textAlignment w:val="auto"/>
              <w:rPr>
                <w:rFonts w:hint="eastAsia" w:ascii="宋体" w:hAnsi="宋体" w:eastAsia="宋体" w:cs="宋体"/>
                <w:sz w:val="21"/>
                <w:szCs w:val="21"/>
                <w:highlight w:val="none"/>
                <w:lang w:val="en-US" w:eastAsia="zh-CN"/>
              </w:rPr>
            </w:pPr>
          </w:p>
        </w:tc>
      </w:tr>
      <w:tr w14:paraId="2BCA6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2" w:hRule="atLeast"/>
        </w:trPr>
        <w:tc>
          <w:tcPr>
            <w:tcW w:w="975" w:type="dxa"/>
            <w:vMerge w:val="continue"/>
            <w:tcBorders>
              <w:tl2br w:val="nil"/>
              <w:tr2bl w:val="nil"/>
            </w:tcBorders>
            <w:noWrap w:val="0"/>
            <w:vAlign w:val="center"/>
          </w:tcPr>
          <w:p w14:paraId="027D360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67CD2538">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lang w:val="en-US" w:eastAsia="zh-CN" w:bidi="ar"/>
              </w:rPr>
              <w:t>3</w:t>
            </w:r>
          </w:p>
        </w:tc>
        <w:tc>
          <w:tcPr>
            <w:tcW w:w="3807" w:type="dxa"/>
            <w:tcBorders>
              <w:tl2br w:val="nil"/>
              <w:tr2bl w:val="nil"/>
            </w:tcBorders>
            <w:noWrap w:val="0"/>
            <w:vAlign w:val="center"/>
          </w:tcPr>
          <w:p w14:paraId="3430157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2、在设施发生损坏或接到报修时，维修人员在20分钟内展开维修，在当天内完成，减小漏水损失。</w:t>
            </w:r>
          </w:p>
        </w:tc>
        <w:tc>
          <w:tcPr>
            <w:tcW w:w="3220" w:type="dxa"/>
            <w:tcBorders>
              <w:tl2br w:val="nil"/>
              <w:tr2bl w:val="nil"/>
            </w:tcBorders>
            <w:noWrap w:val="0"/>
            <w:vAlign w:val="center"/>
          </w:tcPr>
          <w:p w14:paraId="0C6B34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检查时每发现一次超时扣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14:paraId="6DA34DD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检查时每发现一次当天未完成维修的扣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27EE49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3725B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975" w:type="dxa"/>
            <w:vMerge w:val="continue"/>
            <w:tcBorders>
              <w:tl2br w:val="nil"/>
              <w:tr2bl w:val="nil"/>
            </w:tcBorders>
            <w:noWrap w:val="0"/>
            <w:vAlign w:val="center"/>
          </w:tcPr>
          <w:p w14:paraId="2337797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740C5159">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lang w:val="en-US" w:eastAsia="zh-CN" w:bidi="ar"/>
              </w:rPr>
              <w:t>3</w:t>
            </w:r>
          </w:p>
        </w:tc>
        <w:tc>
          <w:tcPr>
            <w:tcW w:w="3807" w:type="dxa"/>
            <w:tcBorders>
              <w:tl2br w:val="nil"/>
              <w:tr2bl w:val="nil"/>
            </w:tcBorders>
            <w:noWrap w:val="0"/>
            <w:vAlign w:val="center"/>
          </w:tcPr>
          <w:p w14:paraId="783D606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3、保证水暖器材完好正常率100%。</w:t>
            </w:r>
          </w:p>
        </w:tc>
        <w:tc>
          <w:tcPr>
            <w:tcW w:w="3220" w:type="dxa"/>
            <w:tcBorders>
              <w:tl2br w:val="nil"/>
              <w:tr2bl w:val="nil"/>
            </w:tcBorders>
            <w:noWrap w:val="0"/>
            <w:vAlign w:val="center"/>
          </w:tcPr>
          <w:p w14:paraId="52FDBBD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合格率百分点每低于1%，扣1分</w:t>
            </w:r>
          </w:p>
        </w:tc>
        <w:tc>
          <w:tcPr>
            <w:tcW w:w="1740" w:type="dxa"/>
            <w:tcBorders>
              <w:tl2br w:val="nil"/>
              <w:tr2bl w:val="nil"/>
            </w:tcBorders>
            <w:noWrap w:val="0"/>
            <w:vAlign w:val="center"/>
          </w:tcPr>
          <w:p w14:paraId="301051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3E7B0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975" w:type="dxa"/>
            <w:vMerge w:val="continue"/>
            <w:tcBorders>
              <w:tl2br w:val="nil"/>
              <w:tr2bl w:val="nil"/>
            </w:tcBorders>
            <w:noWrap w:val="0"/>
            <w:vAlign w:val="center"/>
          </w:tcPr>
          <w:p w14:paraId="05E2671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0B9007E1">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4</w:t>
            </w:r>
          </w:p>
        </w:tc>
        <w:tc>
          <w:tcPr>
            <w:tcW w:w="3807" w:type="dxa"/>
            <w:tcBorders>
              <w:tl2br w:val="nil"/>
              <w:tr2bl w:val="nil"/>
            </w:tcBorders>
            <w:noWrap w:val="0"/>
            <w:vAlign w:val="center"/>
          </w:tcPr>
          <w:p w14:paraId="68EA505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4、更换零部件材料时保持使用原品牌、原安装规格型号、保持“修旧如旧”的维修标准。</w:t>
            </w:r>
          </w:p>
        </w:tc>
        <w:tc>
          <w:tcPr>
            <w:tcW w:w="3220" w:type="dxa"/>
            <w:tcBorders>
              <w:tl2br w:val="nil"/>
              <w:tr2bl w:val="nil"/>
            </w:tcBorders>
            <w:noWrap w:val="0"/>
            <w:vAlign w:val="center"/>
          </w:tcPr>
          <w:p w14:paraId="5A086A0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分（原品牌、原安装规格型号停产的除外）</w:t>
            </w:r>
          </w:p>
        </w:tc>
        <w:tc>
          <w:tcPr>
            <w:tcW w:w="1740" w:type="dxa"/>
            <w:tcBorders>
              <w:tl2br w:val="nil"/>
              <w:tr2bl w:val="nil"/>
            </w:tcBorders>
            <w:noWrap w:val="0"/>
            <w:vAlign w:val="center"/>
          </w:tcPr>
          <w:p w14:paraId="7D74A72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00C03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atLeast"/>
        </w:trPr>
        <w:tc>
          <w:tcPr>
            <w:tcW w:w="975" w:type="dxa"/>
            <w:vMerge w:val="restart"/>
            <w:tcBorders>
              <w:tl2br w:val="nil"/>
              <w:tr2bl w:val="nil"/>
            </w:tcBorders>
            <w:noWrap w:val="0"/>
            <w:vAlign w:val="center"/>
          </w:tcPr>
          <w:p w14:paraId="5D5D0A0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楼梯走道及墙面地面、桥架、各类管线（6分）</w:t>
            </w:r>
          </w:p>
        </w:tc>
        <w:tc>
          <w:tcPr>
            <w:tcW w:w="578" w:type="dxa"/>
            <w:tcBorders>
              <w:tl2br w:val="nil"/>
              <w:tr2bl w:val="nil"/>
            </w:tcBorders>
            <w:noWrap w:val="0"/>
            <w:vAlign w:val="center"/>
          </w:tcPr>
          <w:p w14:paraId="175A4291">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3</w:t>
            </w:r>
          </w:p>
        </w:tc>
        <w:tc>
          <w:tcPr>
            <w:tcW w:w="3807" w:type="dxa"/>
            <w:tcBorders>
              <w:tl2br w:val="nil"/>
              <w:tr2bl w:val="nil"/>
            </w:tcBorders>
            <w:noWrap w:val="0"/>
            <w:vAlign w:val="center"/>
          </w:tcPr>
          <w:p w14:paraId="6D7D12A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1、地面、墙面完好无破损，地砖无空鼓、松动，楼梯台阶防滑条无脱落。</w:t>
            </w:r>
          </w:p>
        </w:tc>
        <w:tc>
          <w:tcPr>
            <w:tcW w:w="3220" w:type="dxa"/>
            <w:tcBorders>
              <w:tl2br w:val="nil"/>
              <w:tr2bl w:val="nil"/>
            </w:tcBorders>
            <w:noWrap w:val="0"/>
            <w:vAlign w:val="center"/>
          </w:tcPr>
          <w:p w14:paraId="35E774B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197295B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33818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5" w:type="dxa"/>
            <w:vMerge w:val="continue"/>
            <w:tcBorders>
              <w:tl2br w:val="nil"/>
              <w:tr2bl w:val="nil"/>
            </w:tcBorders>
            <w:noWrap w:val="0"/>
            <w:vAlign w:val="center"/>
          </w:tcPr>
          <w:p w14:paraId="1352F8A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17D8ABA6">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3</w:t>
            </w:r>
          </w:p>
        </w:tc>
        <w:tc>
          <w:tcPr>
            <w:tcW w:w="3807" w:type="dxa"/>
            <w:tcBorders>
              <w:tl2br w:val="nil"/>
              <w:tr2bl w:val="nil"/>
            </w:tcBorders>
            <w:noWrap w:val="0"/>
            <w:vAlign w:val="center"/>
          </w:tcPr>
          <w:p w14:paraId="334FDAE8">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2、各种管线、桥架安全稳固，无脱落、歪斜。</w:t>
            </w:r>
          </w:p>
        </w:tc>
        <w:tc>
          <w:tcPr>
            <w:tcW w:w="3220" w:type="dxa"/>
            <w:tcBorders>
              <w:tl2br w:val="nil"/>
              <w:tr2bl w:val="nil"/>
            </w:tcBorders>
            <w:noWrap w:val="0"/>
            <w:vAlign w:val="center"/>
          </w:tcPr>
          <w:p w14:paraId="7807927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560D197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5F013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trPr>
        <w:tc>
          <w:tcPr>
            <w:tcW w:w="975" w:type="dxa"/>
            <w:tcBorders>
              <w:tl2br w:val="nil"/>
              <w:tr2bl w:val="nil"/>
            </w:tcBorders>
            <w:noWrap w:val="0"/>
            <w:vAlign w:val="center"/>
          </w:tcPr>
          <w:p w14:paraId="33CF324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外墙（3分）</w:t>
            </w:r>
          </w:p>
        </w:tc>
        <w:tc>
          <w:tcPr>
            <w:tcW w:w="578" w:type="dxa"/>
            <w:tcBorders>
              <w:tl2br w:val="nil"/>
              <w:tr2bl w:val="nil"/>
            </w:tcBorders>
            <w:noWrap w:val="0"/>
            <w:vAlign w:val="center"/>
          </w:tcPr>
          <w:p w14:paraId="3C151499">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3</w:t>
            </w:r>
          </w:p>
        </w:tc>
        <w:tc>
          <w:tcPr>
            <w:tcW w:w="3807" w:type="dxa"/>
            <w:tcBorders>
              <w:tl2br w:val="nil"/>
              <w:tr2bl w:val="nil"/>
            </w:tcBorders>
            <w:noWrap w:val="0"/>
            <w:vAlign w:val="center"/>
          </w:tcPr>
          <w:p w14:paraId="353DCC2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外墙面整洁，无乱贴乱挂。墙面无明显裂缝，外墙砖稳固牢实，无安全隐患。</w:t>
            </w:r>
          </w:p>
        </w:tc>
        <w:tc>
          <w:tcPr>
            <w:tcW w:w="3220" w:type="dxa"/>
            <w:tcBorders>
              <w:tl2br w:val="nil"/>
              <w:tr2bl w:val="nil"/>
            </w:tcBorders>
            <w:noWrap w:val="0"/>
            <w:vAlign w:val="center"/>
          </w:tcPr>
          <w:p w14:paraId="24FB2D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304EDAE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11CB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975" w:type="dxa"/>
            <w:vMerge w:val="restart"/>
            <w:tcBorders>
              <w:tl2br w:val="nil"/>
              <w:tr2bl w:val="nil"/>
            </w:tcBorders>
            <w:noWrap w:val="0"/>
            <w:vAlign w:val="center"/>
          </w:tcPr>
          <w:p w14:paraId="7910D2BE">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各类门窗（1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tc>
        <w:tc>
          <w:tcPr>
            <w:tcW w:w="578" w:type="dxa"/>
            <w:tcBorders>
              <w:tl2br w:val="nil"/>
              <w:tr2bl w:val="nil"/>
            </w:tcBorders>
            <w:noWrap w:val="0"/>
            <w:vAlign w:val="center"/>
          </w:tcPr>
          <w:p w14:paraId="716B71CB">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3</w:t>
            </w:r>
          </w:p>
        </w:tc>
        <w:tc>
          <w:tcPr>
            <w:tcW w:w="3807" w:type="dxa"/>
            <w:tcBorders>
              <w:tl2br w:val="nil"/>
              <w:tr2bl w:val="nil"/>
            </w:tcBorders>
            <w:noWrap w:val="0"/>
            <w:vAlign w:val="center"/>
          </w:tcPr>
          <w:p w14:paraId="19C2F50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1、各种门开闭灵活，门五金配件完好。</w:t>
            </w:r>
          </w:p>
        </w:tc>
        <w:tc>
          <w:tcPr>
            <w:tcW w:w="3220" w:type="dxa"/>
            <w:tcBorders>
              <w:tl2br w:val="nil"/>
              <w:tr2bl w:val="nil"/>
            </w:tcBorders>
            <w:noWrap w:val="0"/>
            <w:vAlign w:val="center"/>
          </w:tcPr>
          <w:p w14:paraId="6663E2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1014780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398F9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975" w:type="dxa"/>
            <w:vMerge w:val="continue"/>
            <w:tcBorders>
              <w:tl2br w:val="nil"/>
              <w:tr2bl w:val="nil"/>
            </w:tcBorders>
            <w:noWrap w:val="0"/>
            <w:vAlign w:val="center"/>
          </w:tcPr>
          <w:p w14:paraId="4D27D02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32279722">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3</w:t>
            </w:r>
          </w:p>
        </w:tc>
        <w:tc>
          <w:tcPr>
            <w:tcW w:w="3807" w:type="dxa"/>
            <w:tcBorders>
              <w:tl2br w:val="nil"/>
              <w:tr2bl w:val="nil"/>
            </w:tcBorders>
            <w:noWrap w:val="0"/>
            <w:vAlign w:val="center"/>
          </w:tcPr>
          <w:p w14:paraId="433D99E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2、锁具完整，开关灵活，闭门器动作正常。</w:t>
            </w:r>
          </w:p>
        </w:tc>
        <w:tc>
          <w:tcPr>
            <w:tcW w:w="3220" w:type="dxa"/>
            <w:tcBorders>
              <w:tl2br w:val="nil"/>
              <w:tr2bl w:val="nil"/>
            </w:tcBorders>
            <w:noWrap w:val="0"/>
            <w:vAlign w:val="center"/>
          </w:tcPr>
          <w:p w14:paraId="16AC801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09646A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3F82A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975" w:type="dxa"/>
            <w:vMerge w:val="continue"/>
            <w:tcBorders>
              <w:tl2br w:val="nil"/>
              <w:tr2bl w:val="nil"/>
            </w:tcBorders>
            <w:noWrap w:val="0"/>
            <w:vAlign w:val="center"/>
          </w:tcPr>
          <w:p w14:paraId="67BB69F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601DA4AF">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3</w:t>
            </w:r>
          </w:p>
        </w:tc>
        <w:tc>
          <w:tcPr>
            <w:tcW w:w="3807" w:type="dxa"/>
            <w:tcBorders>
              <w:tl2br w:val="nil"/>
              <w:tr2bl w:val="nil"/>
            </w:tcBorders>
            <w:noWrap w:val="0"/>
            <w:vAlign w:val="center"/>
          </w:tcPr>
          <w:p w14:paraId="30174AF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3、各窗户完好，推拉顺畅，纱窗完整。</w:t>
            </w:r>
          </w:p>
        </w:tc>
        <w:tc>
          <w:tcPr>
            <w:tcW w:w="3220" w:type="dxa"/>
            <w:tcBorders>
              <w:tl2br w:val="nil"/>
              <w:tr2bl w:val="nil"/>
            </w:tcBorders>
            <w:noWrap w:val="0"/>
            <w:vAlign w:val="center"/>
          </w:tcPr>
          <w:p w14:paraId="7F2061C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71D4804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6DB6E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975" w:type="dxa"/>
            <w:vMerge w:val="continue"/>
            <w:tcBorders>
              <w:tl2br w:val="nil"/>
              <w:tr2bl w:val="nil"/>
            </w:tcBorders>
            <w:noWrap w:val="0"/>
            <w:vAlign w:val="center"/>
          </w:tcPr>
          <w:p w14:paraId="6F87011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1343693B">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lang w:val="en-US" w:eastAsia="zh-CN" w:bidi="ar"/>
              </w:rPr>
              <w:t>3</w:t>
            </w:r>
          </w:p>
        </w:tc>
        <w:tc>
          <w:tcPr>
            <w:tcW w:w="3807" w:type="dxa"/>
            <w:tcBorders>
              <w:tl2br w:val="nil"/>
              <w:tr2bl w:val="nil"/>
            </w:tcBorders>
            <w:noWrap w:val="0"/>
            <w:vAlign w:val="center"/>
          </w:tcPr>
          <w:p w14:paraId="17498D1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4、玻璃稳固完好，密封条完整，无险玻烂窗，窗帘无脱落、卡死。</w:t>
            </w:r>
          </w:p>
        </w:tc>
        <w:tc>
          <w:tcPr>
            <w:tcW w:w="3220" w:type="dxa"/>
            <w:tcBorders>
              <w:tl2br w:val="nil"/>
              <w:tr2bl w:val="nil"/>
            </w:tcBorders>
            <w:noWrap w:val="0"/>
            <w:vAlign w:val="center"/>
          </w:tcPr>
          <w:p w14:paraId="266A291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1C0A504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7D8F4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975" w:type="dxa"/>
            <w:vMerge w:val="restart"/>
            <w:tcBorders>
              <w:tl2br w:val="nil"/>
              <w:tr2bl w:val="nil"/>
            </w:tcBorders>
            <w:noWrap w:val="0"/>
            <w:vAlign w:val="center"/>
          </w:tcPr>
          <w:p w14:paraId="0925E90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水、电表抄表（</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c>
          <w:tcPr>
            <w:tcW w:w="578" w:type="dxa"/>
            <w:tcBorders>
              <w:tl2br w:val="nil"/>
              <w:tr2bl w:val="nil"/>
            </w:tcBorders>
            <w:noWrap w:val="0"/>
            <w:vAlign w:val="center"/>
          </w:tcPr>
          <w:p w14:paraId="5C9BA0D8">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lang w:val="en-US" w:eastAsia="zh-CN" w:bidi="ar"/>
              </w:rPr>
              <w:t>3</w:t>
            </w:r>
          </w:p>
        </w:tc>
        <w:tc>
          <w:tcPr>
            <w:tcW w:w="3807" w:type="dxa"/>
            <w:tcBorders>
              <w:tl2br w:val="nil"/>
              <w:tr2bl w:val="nil"/>
            </w:tcBorders>
            <w:noWrap w:val="0"/>
            <w:vAlign w:val="center"/>
          </w:tcPr>
          <w:p w14:paraId="06974C0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1、水表抄读准确、</w:t>
            </w:r>
            <w:r>
              <w:rPr>
                <w:rFonts w:hint="eastAsia" w:ascii="宋体" w:hAnsi="宋体" w:eastAsia="宋体" w:cs="宋体"/>
                <w:sz w:val="21"/>
                <w:szCs w:val="21"/>
                <w:highlight w:val="none"/>
                <w:lang w:val="en-US" w:eastAsia="zh-CN"/>
              </w:rPr>
              <w:t>结算准确、</w:t>
            </w:r>
            <w:r>
              <w:rPr>
                <w:rFonts w:hint="eastAsia" w:ascii="宋体" w:hAnsi="宋体" w:eastAsia="宋体" w:cs="宋体"/>
                <w:sz w:val="21"/>
                <w:szCs w:val="21"/>
                <w:highlight w:val="none"/>
              </w:rPr>
              <w:t>报表提交及时。</w:t>
            </w:r>
          </w:p>
        </w:tc>
        <w:tc>
          <w:tcPr>
            <w:tcW w:w="3220" w:type="dxa"/>
            <w:tcBorders>
              <w:tl2br w:val="nil"/>
              <w:tr2bl w:val="nil"/>
            </w:tcBorders>
            <w:noWrap w:val="0"/>
            <w:vAlign w:val="center"/>
          </w:tcPr>
          <w:p w14:paraId="1A56ED1A">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检查时每发现一处错误扣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检查时每有一次报表提交不及时扣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6C33115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089E6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975" w:type="dxa"/>
            <w:vMerge w:val="continue"/>
            <w:tcBorders>
              <w:tl2br w:val="nil"/>
              <w:tr2bl w:val="nil"/>
            </w:tcBorders>
            <w:noWrap w:val="0"/>
            <w:vAlign w:val="center"/>
          </w:tcPr>
          <w:p w14:paraId="4730600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2708C082">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lang w:val="en-US" w:eastAsia="zh-CN" w:bidi="ar"/>
              </w:rPr>
              <w:t>3</w:t>
            </w:r>
          </w:p>
        </w:tc>
        <w:tc>
          <w:tcPr>
            <w:tcW w:w="3807" w:type="dxa"/>
            <w:tcBorders>
              <w:tl2br w:val="nil"/>
              <w:tr2bl w:val="nil"/>
            </w:tcBorders>
            <w:noWrap w:val="0"/>
            <w:vAlign w:val="center"/>
          </w:tcPr>
          <w:p w14:paraId="6908B23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2、分析公共用水、电，及时查找、处理不正常的跑冒滴漏，建立长期的跟踪台账。</w:t>
            </w:r>
          </w:p>
        </w:tc>
        <w:tc>
          <w:tcPr>
            <w:tcW w:w="3220" w:type="dxa"/>
            <w:tcBorders>
              <w:tl2br w:val="nil"/>
              <w:tr2bl w:val="nil"/>
            </w:tcBorders>
            <w:noWrap w:val="0"/>
            <w:vAlign w:val="center"/>
          </w:tcPr>
          <w:p w14:paraId="17E3294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检查时每有一次未建立长期的跟踪台账的扣1分</w:t>
            </w:r>
          </w:p>
        </w:tc>
        <w:tc>
          <w:tcPr>
            <w:tcW w:w="1740" w:type="dxa"/>
            <w:tcBorders>
              <w:tl2br w:val="nil"/>
              <w:tr2bl w:val="nil"/>
            </w:tcBorders>
            <w:noWrap w:val="0"/>
            <w:vAlign w:val="center"/>
          </w:tcPr>
          <w:p w14:paraId="7DE0F49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17E7A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975" w:type="dxa"/>
            <w:vMerge w:val="restart"/>
            <w:tcBorders>
              <w:tl2br w:val="nil"/>
              <w:tr2bl w:val="nil"/>
            </w:tcBorders>
            <w:noWrap w:val="0"/>
            <w:vAlign w:val="center"/>
          </w:tcPr>
          <w:p w14:paraId="57A18373">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应急事故处理和大型活动（7分）</w:t>
            </w:r>
          </w:p>
        </w:tc>
        <w:tc>
          <w:tcPr>
            <w:tcW w:w="578" w:type="dxa"/>
            <w:tcBorders>
              <w:tl2br w:val="nil"/>
              <w:tr2bl w:val="nil"/>
            </w:tcBorders>
            <w:noWrap w:val="0"/>
            <w:vAlign w:val="center"/>
          </w:tcPr>
          <w:p w14:paraId="249082A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3807" w:type="dxa"/>
            <w:tcBorders>
              <w:tl2br w:val="nil"/>
              <w:tr2bl w:val="nil"/>
            </w:tcBorders>
            <w:noWrap w:val="0"/>
            <w:vAlign w:val="center"/>
          </w:tcPr>
          <w:p w14:paraId="7536624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学校大型活动保障</w:t>
            </w:r>
          </w:p>
        </w:tc>
        <w:tc>
          <w:tcPr>
            <w:tcW w:w="3220" w:type="dxa"/>
            <w:tcBorders>
              <w:tl2br w:val="nil"/>
              <w:tr2bl w:val="nil"/>
            </w:tcBorders>
            <w:noWrap w:val="0"/>
            <w:vAlign w:val="center"/>
          </w:tcPr>
          <w:p w14:paraId="22083C7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每次不合格扣1分</w:t>
            </w:r>
          </w:p>
        </w:tc>
        <w:tc>
          <w:tcPr>
            <w:tcW w:w="1740" w:type="dxa"/>
            <w:tcBorders>
              <w:tl2br w:val="nil"/>
              <w:tr2bl w:val="nil"/>
            </w:tcBorders>
            <w:noWrap w:val="0"/>
            <w:vAlign w:val="center"/>
          </w:tcPr>
          <w:p w14:paraId="075457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376EF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975" w:type="dxa"/>
            <w:vMerge w:val="continue"/>
            <w:tcBorders>
              <w:tl2br w:val="nil"/>
              <w:tr2bl w:val="nil"/>
            </w:tcBorders>
            <w:noWrap w:val="0"/>
            <w:vAlign w:val="center"/>
          </w:tcPr>
          <w:p w14:paraId="50572666">
            <w:pPr>
              <w:widowControl/>
              <w:rPr>
                <w:rFonts w:hint="eastAsia" w:ascii="宋体" w:hAnsi="宋体" w:eastAsia="宋体" w:cs="宋体"/>
                <w:sz w:val="21"/>
                <w:szCs w:val="21"/>
                <w:highlight w:val="none"/>
              </w:rPr>
            </w:pPr>
          </w:p>
        </w:tc>
        <w:tc>
          <w:tcPr>
            <w:tcW w:w="578" w:type="dxa"/>
            <w:tcBorders>
              <w:tl2br w:val="nil"/>
              <w:tr2bl w:val="nil"/>
            </w:tcBorders>
            <w:noWrap w:val="0"/>
            <w:vAlign w:val="center"/>
          </w:tcPr>
          <w:p w14:paraId="2B3F177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3807" w:type="dxa"/>
            <w:tcBorders>
              <w:tl2br w:val="nil"/>
              <w:tr2bl w:val="nil"/>
            </w:tcBorders>
            <w:noWrap w:val="0"/>
            <w:vAlign w:val="center"/>
          </w:tcPr>
          <w:p w14:paraId="0C7F3DA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应急事故处理</w:t>
            </w:r>
          </w:p>
        </w:tc>
        <w:tc>
          <w:tcPr>
            <w:tcW w:w="3220" w:type="dxa"/>
            <w:tcBorders>
              <w:tl2br w:val="nil"/>
              <w:tr2bl w:val="nil"/>
            </w:tcBorders>
            <w:noWrap w:val="0"/>
            <w:vAlign w:val="center"/>
          </w:tcPr>
          <w:p w14:paraId="00D4DB4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每次不合格扣1分</w:t>
            </w:r>
          </w:p>
        </w:tc>
        <w:tc>
          <w:tcPr>
            <w:tcW w:w="1740" w:type="dxa"/>
            <w:tcBorders>
              <w:tl2br w:val="nil"/>
              <w:tr2bl w:val="nil"/>
            </w:tcBorders>
            <w:noWrap w:val="0"/>
            <w:vAlign w:val="center"/>
          </w:tcPr>
          <w:p w14:paraId="346AE58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2035D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8580" w:type="dxa"/>
            <w:gridSpan w:val="4"/>
            <w:tcBorders>
              <w:tl2br w:val="nil"/>
              <w:tr2bl w:val="nil"/>
            </w:tcBorders>
            <w:noWrap w:val="0"/>
            <w:vAlign w:val="center"/>
          </w:tcPr>
          <w:p w14:paraId="16FE9790">
            <w:pPr>
              <w:rPr>
                <w:rFonts w:hint="eastAsia" w:ascii="宋体" w:hAnsi="宋体" w:eastAsia="宋体" w:cs="宋体"/>
                <w:highlight w:val="none"/>
              </w:rPr>
            </w:pPr>
            <w:r>
              <w:rPr>
                <w:rFonts w:hint="eastAsia" w:ascii="宋体" w:hAnsi="宋体" w:eastAsia="宋体" w:cs="宋体"/>
                <w:bCs/>
                <w:highlight w:val="none"/>
              </w:rPr>
              <w:t>考核总得分：</w:t>
            </w:r>
          </w:p>
        </w:tc>
        <w:tc>
          <w:tcPr>
            <w:tcW w:w="1740" w:type="dxa"/>
            <w:tcBorders>
              <w:tl2br w:val="nil"/>
              <w:tr2bl w:val="nil"/>
            </w:tcBorders>
            <w:noWrap w:val="0"/>
            <w:vAlign w:val="center"/>
          </w:tcPr>
          <w:p w14:paraId="1AB391C1">
            <w:pPr>
              <w:jc w:val="center"/>
              <w:rPr>
                <w:rFonts w:hint="eastAsia" w:ascii="宋体" w:hAnsi="宋体" w:eastAsia="宋体" w:cs="宋体"/>
                <w:highlight w:val="none"/>
              </w:rPr>
            </w:pPr>
          </w:p>
        </w:tc>
      </w:tr>
      <w:tr w14:paraId="71CC0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7" w:hRule="atLeast"/>
        </w:trPr>
        <w:tc>
          <w:tcPr>
            <w:tcW w:w="5360" w:type="dxa"/>
            <w:gridSpan w:val="3"/>
            <w:tcBorders>
              <w:tl2br w:val="nil"/>
              <w:tr2bl w:val="nil"/>
            </w:tcBorders>
            <w:noWrap w:val="0"/>
            <w:vAlign w:val="top"/>
          </w:tcPr>
          <w:p w14:paraId="4AB67B2F">
            <w:pPr>
              <w:rPr>
                <w:rFonts w:hint="eastAsia" w:ascii="宋体" w:hAnsi="宋体" w:eastAsia="宋体" w:cs="宋体"/>
                <w:bCs/>
                <w:highlight w:val="none"/>
              </w:rPr>
            </w:pPr>
            <w:r>
              <w:rPr>
                <w:rFonts w:hint="eastAsia" w:ascii="宋体" w:hAnsi="宋体" w:eastAsia="宋体" w:cs="宋体"/>
                <w:bCs/>
                <w:highlight w:val="none"/>
              </w:rPr>
              <w:t>考核单位意见：</w:t>
            </w:r>
          </w:p>
        </w:tc>
        <w:tc>
          <w:tcPr>
            <w:tcW w:w="4960" w:type="dxa"/>
            <w:gridSpan w:val="2"/>
            <w:tcBorders>
              <w:tl2br w:val="nil"/>
              <w:tr2bl w:val="nil"/>
            </w:tcBorders>
            <w:noWrap w:val="0"/>
            <w:vAlign w:val="top"/>
          </w:tcPr>
          <w:p w14:paraId="459ABDC5">
            <w:pPr>
              <w:rPr>
                <w:rFonts w:hint="eastAsia" w:ascii="宋体" w:hAnsi="宋体" w:eastAsia="宋体" w:cs="宋体"/>
                <w:bCs/>
                <w:highlight w:val="none"/>
              </w:rPr>
            </w:pPr>
            <w:r>
              <w:rPr>
                <w:rFonts w:hint="eastAsia" w:ascii="宋体" w:hAnsi="宋体" w:eastAsia="宋体" w:cs="宋体"/>
                <w:bCs/>
                <w:highlight w:val="none"/>
              </w:rPr>
              <w:t>被考核单位意见：</w:t>
            </w:r>
          </w:p>
        </w:tc>
      </w:tr>
    </w:tbl>
    <w:p w14:paraId="087F55C2">
      <w:pPr>
        <w:outlineLvl w:val="2"/>
        <w:rPr>
          <w:rFonts w:hint="eastAsia" w:ascii="宋体" w:hAnsi="宋体" w:eastAsia="宋体" w:cs="宋体"/>
          <w:b/>
          <w:bCs/>
          <w:sz w:val="28"/>
          <w:szCs w:val="28"/>
          <w:highlight w:val="none"/>
        </w:rPr>
      </w:pPr>
    </w:p>
    <w:p w14:paraId="36725EC5">
      <w:pPr>
        <w:spacing w:line="248" w:lineRule="auto"/>
        <w:rPr>
          <w:rFonts w:hint="eastAsia" w:ascii="仿宋" w:hAnsi="仿宋" w:eastAsia="仿宋" w:cs="仿宋"/>
          <w:snapToGrid w:val="0"/>
          <w:color w:val="000000"/>
          <w:spacing w:val="12"/>
          <w:kern w:val="0"/>
          <w:sz w:val="27"/>
          <w:szCs w:val="27"/>
          <w:lang w:val="en-US" w:eastAsia="zh-CN" w:bidi="ar-SA"/>
        </w:rPr>
      </w:pPr>
      <w:r>
        <w:rPr>
          <w:rFonts w:hint="eastAsia" w:ascii="仿宋" w:hAnsi="仿宋" w:eastAsia="仿宋" w:cs="仿宋"/>
          <w:b/>
          <w:bCs/>
          <w:snapToGrid w:val="0"/>
          <w:color w:val="000000"/>
          <w:spacing w:val="12"/>
          <w:kern w:val="0"/>
          <w:sz w:val="27"/>
          <w:szCs w:val="27"/>
          <w:lang w:val="en-US" w:eastAsia="zh-CN" w:bidi="ar-SA"/>
        </w:rPr>
        <w:t>考核说明：</w:t>
      </w:r>
      <w:r>
        <w:rPr>
          <w:rFonts w:hint="eastAsia" w:ascii="仿宋" w:hAnsi="仿宋" w:eastAsia="仿宋" w:cs="仿宋"/>
          <w:snapToGrid w:val="0"/>
          <w:color w:val="000000"/>
          <w:spacing w:val="12"/>
          <w:kern w:val="0"/>
          <w:sz w:val="27"/>
          <w:szCs w:val="27"/>
          <w:lang w:val="en-US" w:eastAsia="zh-CN" w:bidi="ar-SA"/>
        </w:rPr>
        <w:t>本考核表满分100分，每次考核得分95分（含）以上为优秀，考核得分85分（含）以上为合格；考核得分80分（含）以上基本合格，考核得分80分以下的评为不合格。低于85分的部分每扣1分对应扣减服务费1000元后，在被考核季度支付服务费时给予扣除，若合同服务期内出现考核不合格，本合同服务期满后，将终止续签服务合同。</w:t>
      </w:r>
    </w:p>
    <w:sectPr>
      <w:headerReference r:id="rId13" w:type="default"/>
      <w:footerReference r:id="rId14" w:type="default"/>
      <w:pgSz w:w="11900" w:h="16820"/>
      <w:pgMar w:top="1140" w:right="1378" w:bottom="1202" w:left="1349" w:header="1129" w:footer="964"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2BF92">
    <w:pPr>
      <w:spacing w:line="212" w:lineRule="auto"/>
      <w:ind w:left="3979"/>
      <w:rPr>
        <w:rFonts w:ascii="宋体" w:hAnsi="宋体" w:eastAsia="宋体" w:cs="宋体"/>
        <w:sz w:val="26"/>
        <w:szCs w:val="26"/>
      </w:rPr>
    </w:pPr>
    <w:r>
      <w:rPr>
        <w:sz w:val="2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C296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2CC296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35B63">
    <w:pPr>
      <w:spacing w:line="209" w:lineRule="auto"/>
      <w:ind w:left="4474"/>
      <w:rPr>
        <w:rFonts w:ascii="宋体" w:hAnsi="宋体" w:eastAsia="宋体" w:cs="宋体"/>
        <w:sz w:val="19"/>
        <w:szCs w:val="19"/>
      </w:rPr>
    </w:pPr>
    <w:r>
      <w:rPr>
        <w:sz w:val="19"/>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7D2C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27D2C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383A7">
    <w:pPr>
      <w:spacing w:line="210" w:lineRule="auto"/>
      <w:ind w:left="3979"/>
      <w:rPr>
        <w:rFonts w:ascii="宋体" w:hAnsi="宋体" w:eastAsia="宋体" w:cs="宋体"/>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AA438">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76AA438">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E4CF4">
    <w:pPr>
      <w:spacing w:line="209" w:lineRule="auto"/>
      <w:ind w:left="5169"/>
      <w:rPr>
        <w:rFonts w:ascii="宋体" w:hAnsi="宋体" w:eastAsia="宋体" w:cs="宋体"/>
        <w:sz w:val="19"/>
        <w:szCs w:val="19"/>
      </w:rPr>
    </w:pPr>
    <w:r>
      <w:rPr>
        <w:sz w:val="19"/>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05B2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9A05B2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25142">
    <w:pPr>
      <w:spacing w:line="210" w:lineRule="auto"/>
      <w:ind w:left="5080"/>
      <w:rPr>
        <w:rFonts w:ascii="宋体" w:hAnsi="宋体" w:eastAsia="宋体" w:cs="宋体"/>
        <w:sz w:val="20"/>
        <w:szCs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670ED">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696670ED">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086CA">
    <w:pPr>
      <w:spacing w:line="105" w:lineRule="auto"/>
      <w:rPr>
        <w:rFonts w:ascii="Arial"/>
        <w:sz w:val="2"/>
      </w:rPr>
    </w:pPr>
    <w:r>
      <w:drawing>
        <wp:anchor distT="0" distB="0" distL="0" distR="0" simplePos="0" relativeHeight="251659264" behindDoc="0" locked="0" layoutInCell="0" allowOverlap="1">
          <wp:simplePos x="0" y="0"/>
          <wp:positionH relativeFrom="page">
            <wp:posOffset>876300</wp:posOffset>
          </wp:positionH>
          <wp:positionV relativeFrom="page">
            <wp:posOffset>672465</wp:posOffset>
          </wp:positionV>
          <wp:extent cx="5949950" cy="127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949912" cy="1271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53A05">
    <w:pPr>
      <w:spacing w:line="105" w:lineRule="auto"/>
      <w:rPr>
        <w:rFonts w:ascii="Arial"/>
        <w:sz w:val="2"/>
      </w:rPr>
    </w:pPr>
    <w:r>
      <w:drawing>
        <wp:anchor distT="0" distB="0" distL="0" distR="0" simplePos="0" relativeHeight="251660288" behindDoc="0" locked="0" layoutInCell="0" allowOverlap="1">
          <wp:simplePos x="0" y="0"/>
          <wp:positionH relativeFrom="page">
            <wp:posOffset>685800</wp:posOffset>
          </wp:positionH>
          <wp:positionV relativeFrom="page">
            <wp:posOffset>711200</wp:posOffset>
          </wp:positionV>
          <wp:extent cx="5949950" cy="127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
                  <a:stretch>
                    <a:fillRect/>
                  </a:stretch>
                </pic:blipFill>
                <pic:spPr>
                  <a:xfrm>
                    <a:off x="0" y="0"/>
                    <a:ext cx="5949912" cy="1271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E1023">
    <w:pPr>
      <w:spacing w:line="105" w:lineRule="auto"/>
      <w:rPr>
        <w:rFonts w:ascii="Arial"/>
        <w:sz w:val="2"/>
      </w:rPr>
    </w:pPr>
    <w:r>
      <w:drawing>
        <wp:anchor distT="0" distB="0" distL="0" distR="0" simplePos="0" relativeHeight="251661312" behindDoc="0" locked="0" layoutInCell="0" allowOverlap="1">
          <wp:simplePos x="0" y="0"/>
          <wp:positionH relativeFrom="page">
            <wp:posOffset>895350</wp:posOffset>
          </wp:positionH>
          <wp:positionV relativeFrom="page">
            <wp:posOffset>678815</wp:posOffset>
          </wp:positionV>
          <wp:extent cx="5943600" cy="127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5943564" cy="1271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E2656">
    <w:pPr>
      <w:spacing w:line="14" w:lineRule="auto"/>
      <w:rPr>
        <w:rFonts w:ascii="Arial"/>
        <w:sz w:val="2"/>
      </w:rPr>
    </w:pPr>
    <w:r>
      <w:drawing>
        <wp:anchor distT="0" distB="0" distL="0" distR="0" simplePos="0" relativeHeight="251662336" behindDoc="0" locked="0" layoutInCell="0" allowOverlap="1">
          <wp:simplePos x="0" y="0"/>
          <wp:positionH relativeFrom="page">
            <wp:posOffset>730250</wp:posOffset>
          </wp:positionH>
          <wp:positionV relativeFrom="page">
            <wp:posOffset>716915</wp:posOffset>
          </wp:positionV>
          <wp:extent cx="5949950" cy="63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5949912" cy="6408"/>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7F4EC">
    <w:pPr>
      <w:spacing w:line="105" w:lineRule="auto"/>
      <w:rPr>
        <w:rFonts w:ascii="Arial"/>
        <w:sz w:val="2"/>
      </w:rPr>
    </w:pPr>
    <w:r>
      <w:drawing>
        <wp:anchor distT="0" distB="0" distL="0" distR="0" simplePos="0" relativeHeight="251664384" behindDoc="0" locked="0" layoutInCell="0" allowOverlap="1">
          <wp:simplePos x="0" y="0"/>
          <wp:positionH relativeFrom="page">
            <wp:posOffset>761365</wp:posOffset>
          </wp:positionH>
          <wp:positionV relativeFrom="page">
            <wp:posOffset>716915</wp:posOffset>
          </wp:positionV>
          <wp:extent cx="5949950" cy="1270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
                  <a:stretch>
                    <a:fillRect/>
                  </a:stretch>
                </pic:blipFill>
                <pic:spPr>
                  <a:xfrm>
                    <a:off x="0" y="0"/>
                    <a:ext cx="5949987" cy="127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B580E"/>
    <w:multiLevelType w:val="singleLevel"/>
    <w:tmpl w:val="9C8B580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B3097E"/>
    <w:rsid w:val="02886FFA"/>
    <w:rsid w:val="07E05D8F"/>
    <w:rsid w:val="0C570AA6"/>
    <w:rsid w:val="0E5C1D23"/>
    <w:rsid w:val="0FF26B15"/>
    <w:rsid w:val="1546345F"/>
    <w:rsid w:val="1A0F6516"/>
    <w:rsid w:val="1B3962D4"/>
    <w:rsid w:val="1FB21E1D"/>
    <w:rsid w:val="21442F49"/>
    <w:rsid w:val="251E0CA6"/>
    <w:rsid w:val="257F408E"/>
    <w:rsid w:val="262E1901"/>
    <w:rsid w:val="2BFD2672"/>
    <w:rsid w:val="2C351E0C"/>
    <w:rsid w:val="31EB3F09"/>
    <w:rsid w:val="3AB62777"/>
    <w:rsid w:val="3C4D6CFE"/>
    <w:rsid w:val="3C961E97"/>
    <w:rsid w:val="414D154E"/>
    <w:rsid w:val="41856F3A"/>
    <w:rsid w:val="42733236"/>
    <w:rsid w:val="46A41C10"/>
    <w:rsid w:val="492B7E40"/>
    <w:rsid w:val="4E314A0C"/>
    <w:rsid w:val="598D4786"/>
    <w:rsid w:val="5C58551F"/>
    <w:rsid w:val="5E162F9C"/>
    <w:rsid w:val="664D7777"/>
    <w:rsid w:val="67D169D0"/>
    <w:rsid w:val="6937148E"/>
    <w:rsid w:val="70D81899"/>
    <w:rsid w:val="74DF1EE2"/>
    <w:rsid w:val="74EC45FF"/>
    <w:rsid w:val="774502E9"/>
    <w:rsid w:val="7A1E52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keepNext/>
      <w:adjustRightInd w:val="0"/>
      <w:jc w:val="center"/>
      <w:textAlignment w:val="baseline"/>
      <w:outlineLvl w:val="1"/>
    </w:pPr>
    <w:rPr>
      <w:b/>
      <w:kern w:val="0"/>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6"/>
      <w:szCs w:val="26"/>
      <w:lang w:val="en-US" w:eastAsia="en-US" w:bidi="ar-SA"/>
    </w:rPr>
  </w:style>
  <w:style w:type="paragraph" w:styleId="4">
    <w:name w:val="footer"/>
    <w:basedOn w:val="1"/>
    <w:uiPriority w:val="0"/>
    <w:pPr>
      <w:tabs>
        <w:tab w:val="center" w:pos="4153"/>
        <w:tab w:val="right" w:pos="8306"/>
      </w:tabs>
      <w:snapToGrid w:val="0"/>
      <w:jc w:val="left"/>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6022</Words>
  <Characters>6704</Characters>
  <TotalTime>2</TotalTime>
  <ScaleCrop>false</ScaleCrop>
  <LinksUpToDate>false</LinksUpToDate>
  <CharactersWithSpaces>6890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2025-09-08T13:29:00Z</dcterms:created>
  <dc:creator>Administrator</dc:creator>
  <cp:lastModifiedBy> 圈了个600  </cp:lastModifiedBy>
  <dcterms:modified xsi:type="dcterms:W3CDTF">2025-09-17T06:06:48Z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2025-09-08T13:29:23Z</vt:filetime>
  </property>
  <property fmtid="{D5CDD505-2E9C-101B-9397-08002B2CF9AE}" pid="4" name="UsrData">
    <vt:lpwstr>68be69ae69d47e001f175b4ewl</vt:lpwstr>
  </property>
  <property fmtid="{D5CDD505-2E9C-101B-9397-08002B2CF9AE}" pid="5" name="KSOTemplateDocerSaveRecord">
    <vt:lpwstr>eyJoZGlkIjoiZjE0YmUyZGY4NzRkMTIyYWFlMmZhMzNhMjNhMDlkMDEiLCJ1c2VySWQiOiIzMzAzNjI2NjUifQ==</vt:lpwstr>
  </property>
  <property fmtid="{D5CDD505-2E9C-101B-9397-08002B2CF9AE}" pid="6" name="KSOProductBuildVer">
    <vt:lpwstr>2052-12.1.0.22529</vt:lpwstr>
  </property>
  <property fmtid="{D5CDD505-2E9C-101B-9397-08002B2CF9AE}" pid="7" name="ICV">
    <vt:lpwstr>1DDC478F6E8245FB91E82B63E6939DB9_12</vt:lpwstr>
  </property>
</Properties>
</file>