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078C">
      <w:pPr>
        <w:pStyle w:val="5"/>
        <w:bidi w:val="0"/>
        <w:rPr>
          <w:rFonts w:hint="eastAsia" w:ascii="黑体" w:hAnsi="黑体" w:eastAsia="黑体" w:cs="黑体"/>
          <w:lang w:val="en-US" w:eastAsia="zh-CN"/>
        </w:rPr>
      </w:pPr>
      <w:r>
        <w:rPr>
          <w:rFonts w:hint="eastAsia" w:ascii="黑体" w:hAnsi="黑体" w:eastAsia="黑体" w:cs="黑体"/>
        </w:rPr>
        <w:t>滇南凤凰酒店绿化养护、卫生保洁、垃圾清运服务</w:t>
      </w:r>
      <w:r>
        <w:rPr>
          <w:rFonts w:hint="eastAsia" w:ascii="黑体" w:hAnsi="黑体" w:eastAsia="黑体" w:cs="黑体"/>
          <w:lang w:val="en-US" w:eastAsia="zh-CN"/>
        </w:rPr>
        <w:t>合同</w:t>
      </w:r>
    </w:p>
    <w:p w14:paraId="46520B4B">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4"/>
          <w:szCs w:val="24"/>
        </w:rPr>
      </w:pPr>
    </w:p>
    <w:p w14:paraId="1773C0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甲方：上海中高后勤服务（集团）有限公司</w:t>
      </w:r>
    </w:p>
    <w:p w14:paraId="6A05F6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地址：</w:t>
      </w:r>
      <w:r>
        <w:rPr>
          <w:rFonts w:hint="eastAsia" w:ascii="宋体" w:hAnsi="宋体" w:eastAsia="宋体" w:cs="宋体"/>
          <w:bCs/>
          <w:sz w:val="24"/>
          <w:szCs w:val="24"/>
          <w:lang w:eastAsia="zh-CN"/>
        </w:rPr>
        <w:t>上海市嘉定区华江路129弄7号J10157室</w:t>
      </w:r>
    </w:p>
    <w:p w14:paraId="2A3C9E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法定代表人：简国帅</w:t>
      </w:r>
    </w:p>
    <w:p w14:paraId="5D072E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p>
    <w:p w14:paraId="43EA55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乙方：昆明芯春物业管理有限公司</w:t>
      </w:r>
    </w:p>
    <w:p w14:paraId="47D291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 xml:space="preserve">云南省昆明市五华区红云街道办龙泉路348号右营小区一单元201  </w:t>
      </w:r>
    </w:p>
    <w:p w14:paraId="2E6D660A">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法定代表人：</w:t>
      </w:r>
      <w:r>
        <w:rPr>
          <w:rFonts w:hint="eastAsia" w:ascii="宋体" w:hAnsi="宋体" w:cs="宋体"/>
          <w:bCs/>
          <w:sz w:val="24"/>
          <w:szCs w:val="24"/>
          <w:lang w:val="en-US" w:eastAsia="zh-CN"/>
        </w:rPr>
        <w:t>陈翔</w:t>
      </w:r>
    </w:p>
    <w:p w14:paraId="275924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p>
    <w:p w14:paraId="53CD3E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中华人民共和国民法典》等有关法律法规及规范性文件相关规定，遵循平等、自愿、公平和诚实信用的原则，双方就甲方服务的滇南凤凰酒店绿化养护、卫生保洁、垃圾清运服务工作协商一致，共同达成以下协议。</w:t>
      </w:r>
    </w:p>
    <w:p w14:paraId="7B6A44F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一、服务概况：</w:t>
      </w:r>
    </w:p>
    <w:p w14:paraId="1E5C30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云南小龙潭矿务局有限责任公司滇南凤凰酒店分公司</w:t>
      </w:r>
      <w:r>
        <w:rPr>
          <w:rFonts w:hint="eastAsia" w:ascii="宋体" w:hAnsi="宋体" w:eastAsia="宋体" w:cs="宋体"/>
          <w:bCs/>
          <w:sz w:val="24"/>
          <w:szCs w:val="24"/>
        </w:rPr>
        <w:t>范围内所有绿化养护区域，面积共15531.73平方米（包括日常巡查）、卫生保洁（消防环道区域，地面停车场区域，大堂礼兵车道区域，AD区神兽池区域，花园区域含连廊、喷水池、小溪沟的清洁与维护）、垃圾清运（区域内生活垃圾，工程垃圾，可回收垃圾，不可回收垃圾，绿化带的落叶、杂草、草皮等垃圾）服务</w:t>
      </w:r>
      <w:r>
        <w:rPr>
          <w:rFonts w:hint="eastAsia" w:ascii="宋体" w:hAnsi="宋体" w:eastAsia="宋体" w:cs="宋体"/>
          <w:sz w:val="24"/>
          <w:szCs w:val="24"/>
        </w:rPr>
        <w:t>。</w:t>
      </w:r>
    </w:p>
    <w:p w14:paraId="5C15FE6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val="0"/>
          <w:sz w:val="24"/>
          <w:szCs w:val="24"/>
          <w:lang w:val="en-US" w:eastAsia="zh-CN"/>
        </w:rPr>
        <w:t>二、服务</w:t>
      </w:r>
      <w:r>
        <w:rPr>
          <w:rFonts w:hint="eastAsia" w:ascii="宋体" w:hAnsi="宋体" w:eastAsia="宋体" w:cs="宋体"/>
          <w:b/>
          <w:sz w:val="24"/>
          <w:szCs w:val="24"/>
        </w:rPr>
        <w:t>内容、范围、效果、标准</w:t>
      </w:r>
    </w:p>
    <w:p w14:paraId="1EBCC12E">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（一）绿化养护内容及标准</w:t>
      </w:r>
    </w:p>
    <w:p w14:paraId="32C19488">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bCs/>
          <w:sz w:val="24"/>
          <w:szCs w:val="24"/>
        </w:rPr>
        <w:t>绿化养护区域及面积：酒店范围内所有绿化区域，面积15531.73㎡。</w:t>
      </w:r>
    </w:p>
    <w:p w14:paraId="06F27879">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绿化养护的标准：绿化充分，植被茂密、灌木、树木长势良好，枯枝残叶清理及时土不露天。</w:t>
      </w:r>
    </w:p>
    <w:p w14:paraId="16F83A59">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（1）园区植物：</w:t>
      </w:r>
    </w:p>
    <w:p w14:paraId="230DF29F">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生长势：正常。生长达到该树种该规格的平均生长量。</w:t>
      </w:r>
    </w:p>
    <w:p w14:paraId="07914EDC">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叶子正常：①叶色、大小、薄厚正常；②较严重黄叶、焦叶、卷叶、虫网灰尘的株数在2%以下；③被啃咬的叶片最严重的每株在10%以下。</w:t>
      </w:r>
    </w:p>
    <w:p w14:paraId="55C520E2">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枝、干正常：①无明显枯枝、死权；②有蛀干害虫的株数2%以下（包括2%，以下同）；③介壳虫最严重处主枝主干100平方厘米2头活虫以下，较细枝条每尺长一段上在10头活虫以下，株数都在4%以下；④树冠基本完整：主侧枝分布均称，树冠通风透光。</w:t>
      </w:r>
    </w:p>
    <w:p w14:paraId="01C87573">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行道树缺株在l%以下。</w:t>
      </w:r>
    </w:p>
    <w:p w14:paraId="3216CE39">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草坪覆盖率达95%以上；草坪内杂草控制在20%以内；生长和颜色正常，不枯黄，基本无病虫害。</w:t>
      </w:r>
    </w:p>
    <w:p w14:paraId="1DE685B1">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（2）行道树和绿地内无死树，树木修剪基本合理，树形美观，能较好地解决树木与电线、建筑物、交通等之间的矛盾。</w:t>
      </w:r>
    </w:p>
    <w:p w14:paraId="17BBC0DC">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（3）绿化生产垃圾要做到日产日清，绿地内无明显的废弃物，能配合酒店在重大节日或重要接待前进行突击清理。</w:t>
      </w:r>
    </w:p>
    <w:p w14:paraId="675BFD3D">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4）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1E992B1A">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（二）公区卫生清洁外包内容及标准</w:t>
      </w:r>
    </w:p>
    <w:p w14:paraId="3C5E165E">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公区清洁服务的区域包括但不限于下述范围：</w:t>
      </w:r>
    </w:p>
    <w:p w14:paraId="7F3F6852">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酒店公共区域日常清洁工作：外围公共区域（地面停车场、消防环道、大堂车道、A、D区神兽池、花园区域含连廊、喷水池、小溪沟）的清洁与维护；负责酒店垃圾的清运。</w:t>
      </w:r>
    </w:p>
    <w:p w14:paraId="7CE478B4">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公共区域之室外的卫生要求及质量检查标准</w:t>
      </w:r>
    </w:p>
    <w:p w14:paraId="2FA937CD">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（1）地面：地面实行分片卫生管理，无痰迹、无纸屑、无烟头。建筑物之间的通道清洁、无污渍、烟头、废纸、垃圾等。</w:t>
      </w:r>
    </w:p>
    <w:p w14:paraId="66082601">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（2）设施：垃圾箱内垃圾不外溢，及时清理，地垫表面干净无污渍、无积水。</w:t>
      </w:r>
    </w:p>
    <w:p w14:paraId="05B0A1E0">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（3）绿化：摆放花木定期浇水，定期喷洒防虫剂,道路两旁的树墙要定期修剪,保持整齐美观。</w:t>
      </w:r>
    </w:p>
    <w:p w14:paraId="3F1C8F66">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日常清洁服务工作时间：</w:t>
      </w:r>
    </w:p>
    <w:tbl>
      <w:tblPr>
        <w:tblStyle w:val="21"/>
        <w:tblW w:w="8472" w:type="dxa"/>
        <w:tblInd w:w="0" w:type="dxa"/>
        <w:tblLayout w:type="fixed"/>
        <w:tblCellMar>
          <w:top w:w="0" w:type="dxa"/>
          <w:left w:w="108" w:type="dxa"/>
          <w:bottom w:w="0" w:type="dxa"/>
          <w:right w:w="108" w:type="dxa"/>
        </w:tblCellMar>
      </w:tblPr>
      <w:tblGrid>
        <w:gridCol w:w="1704"/>
        <w:gridCol w:w="1733"/>
        <w:gridCol w:w="1510"/>
        <w:gridCol w:w="1256"/>
        <w:gridCol w:w="2269"/>
      </w:tblGrid>
      <w:tr w14:paraId="78B411A2">
        <w:tblPrEx>
          <w:tblCellMar>
            <w:top w:w="0" w:type="dxa"/>
            <w:left w:w="108" w:type="dxa"/>
            <w:bottom w:w="0" w:type="dxa"/>
            <w:right w:w="108" w:type="dxa"/>
          </w:tblCellMar>
        </w:tblPrEx>
        <w:trPr>
          <w:trHeight w:val="770" w:hRule="atLeast"/>
        </w:trPr>
        <w:tc>
          <w:tcPr>
            <w:tcW w:w="8472" w:type="dxa"/>
            <w:gridSpan w:val="5"/>
            <w:tcBorders>
              <w:top w:val="nil"/>
              <w:left w:val="nil"/>
              <w:bottom w:val="single" w:color="auto" w:sz="4" w:space="0"/>
              <w:right w:val="nil"/>
            </w:tcBorders>
            <w:shd w:val="clear" w:color="auto" w:fill="auto"/>
            <w:noWrap/>
            <w:vAlign w:val="center"/>
          </w:tcPr>
          <w:p w14:paraId="1A22A4A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清洁服务时间</w:t>
            </w:r>
          </w:p>
        </w:tc>
      </w:tr>
      <w:tr w14:paraId="098A8561">
        <w:tblPrEx>
          <w:tblCellMar>
            <w:top w:w="0" w:type="dxa"/>
            <w:left w:w="108" w:type="dxa"/>
            <w:bottom w:w="0" w:type="dxa"/>
            <w:right w:w="108" w:type="dxa"/>
          </w:tblCellMar>
        </w:tblPrEx>
        <w:trPr>
          <w:trHeight w:val="440"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3955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清洁区域</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881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清洁时间</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6384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清洁周期</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A5C8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清洁方式</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4DA8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清洁程度</w:t>
            </w:r>
          </w:p>
        </w:tc>
      </w:tr>
      <w:tr w14:paraId="31E7EE6D">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CEE5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地面停车场（含洗手台）</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8D50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69EE8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5D41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清扫、清洁</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892C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无明显污渍、落叶</w:t>
            </w:r>
          </w:p>
          <w:p w14:paraId="2710173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无垃圾</w:t>
            </w:r>
          </w:p>
        </w:tc>
      </w:tr>
      <w:tr w14:paraId="7347C918">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70FF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外围消防环道、</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61AD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C934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1CF6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清扫</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FE78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无明显污渍、落叶</w:t>
            </w:r>
          </w:p>
          <w:p w14:paraId="5D4F695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无垃圾</w:t>
            </w:r>
          </w:p>
        </w:tc>
      </w:tr>
      <w:tr w14:paraId="325135F5">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C615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A、D区神兽池</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67E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5605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一季度彻底清洗一次</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1E2E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打捞</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62B0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无落叶、漂浮物</w:t>
            </w:r>
          </w:p>
        </w:tc>
      </w:tr>
      <w:tr w14:paraId="4E192A0E">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09BB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花园区域</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D8C0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B78A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B054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清扫、打捞</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146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无明显污渍、落叶</w:t>
            </w:r>
          </w:p>
          <w:p w14:paraId="59BB3F0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无垃圾</w:t>
            </w:r>
          </w:p>
        </w:tc>
      </w:tr>
      <w:tr w14:paraId="5E5D0D00">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861F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九曲连廊</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FB8F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75D4F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F554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清扫</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B098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无明显污渍、落叶</w:t>
            </w:r>
          </w:p>
          <w:p w14:paraId="124D350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无垃圾</w:t>
            </w:r>
          </w:p>
        </w:tc>
      </w:tr>
      <w:tr w14:paraId="64D658CE">
        <w:tblPrEx>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89A2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游泳池</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BBF7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933D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0E6A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清扫</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EE71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无明显污渍、落叶</w:t>
            </w:r>
          </w:p>
          <w:p w14:paraId="5C5727F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无垃圾</w:t>
            </w:r>
          </w:p>
        </w:tc>
      </w:tr>
      <w:tr w14:paraId="4295A744">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471B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小溪沟</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F27B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D31C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一季度彻底清洗一次</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E0D5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打捞</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8EE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无落叶、漂浮物</w:t>
            </w:r>
          </w:p>
        </w:tc>
      </w:tr>
      <w:tr w14:paraId="5FB35416">
        <w:tblPrEx>
          <w:tblCellMar>
            <w:top w:w="0" w:type="dxa"/>
            <w:left w:w="108" w:type="dxa"/>
            <w:bottom w:w="0" w:type="dxa"/>
            <w:right w:w="108" w:type="dxa"/>
          </w:tblCellMar>
        </w:tblPrEx>
        <w:trPr>
          <w:trHeight w:val="664" w:hRule="atLeast"/>
        </w:trPr>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AAC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喷水池</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74FF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每班/8小时循环清洁</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8D0C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一季度彻底清洗一次</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D57F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打捞</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4CAC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无落叶、漂浮物</w:t>
            </w:r>
          </w:p>
        </w:tc>
      </w:tr>
    </w:tbl>
    <w:p w14:paraId="0E668EA6">
      <w:pPr>
        <w:keepNext w:val="0"/>
        <w:keepLines w:val="0"/>
        <w:pageBreakBefore w:val="0"/>
        <w:widowControl/>
        <w:tabs>
          <w:tab w:val="left" w:pos="36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清洁标准：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57"/>
        <w:gridCol w:w="6326"/>
      </w:tblGrid>
      <w:tr w14:paraId="415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93" w:type="dxa"/>
            <w:gridSpan w:val="2"/>
            <w:noWrap w:val="0"/>
            <w:vAlign w:val="center"/>
          </w:tcPr>
          <w:p w14:paraId="312DC4D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卫生区域</w:t>
            </w:r>
          </w:p>
        </w:tc>
        <w:tc>
          <w:tcPr>
            <w:tcW w:w="6326" w:type="dxa"/>
            <w:noWrap w:val="0"/>
            <w:vAlign w:val="center"/>
          </w:tcPr>
          <w:p w14:paraId="0DAE40B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卫生检查标准</w:t>
            </w:r>
          </w:p>
        </w:tc>
      </w:tr>
      <w:tr w14:paraId="7FFE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0" w:type="auto"/>
            <w:vMerge w:val="restart"/>
            <w:tcBorders>
              <w:right w:val="single" w:color="auto" w:sz="4" w:space="0"/>
            </w:tcBorders>
            <w:noWrap w:val="0"/>
            <w:vAlign w:val="center"/>
          </w:tcPr>
          <w:p w14:paraId="2263AD7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酒店</w:t>
            </w:r>
          </w:p>
          <w:p w14:paraId="28E37BA8">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外围</w:t>
            </w:r>
          </w:p>
          <w:p w14:paraId="3946CAE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区域</w:t>
            </w:r>
          </w:p>
        </w:tc>
        <w:tc>
          <w:tcPr>
            <w:tcW w:w="1457" w:type="dxa"/>
            <w:tcBorders>
              <w:left w:val="single" w:color="auto" w:sz="4" w:space="0"/>
              <w:right w:val="single" w:color="auto" w:sz="4" w:space="0"/>
            </w:tcBorders>
            <w:noWrap w:val="0"/>
            <w:vAlign w:val="center"/>
          </w:tcPr>
          <w:p w14:paraId="0DB34AD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地面停车场</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35F715B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1.路面干净、平整、无纸屑、无污物、无大面积破坏；</w:t>
            </w:r>
          </w:p>
          <w:p w14:paraId="50B405D9">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2.草坪无纸屑、无杂物、无大面积裸露；</w:t>
            </w:r>
          </w:p>
          <w:p w14:paraId="09C510CF">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3.花木：无枯枝、无大面积落叶；</w:t>
            </w:r>
          </w:p>
          <w:p w14:paraId="7715699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4.高空：无蛛网、无落物、无安全隐患。</w:t>
            </w:r>
          </w:p>
          <w:p w14:paraId="6676E97F">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5.植物叶片无枯黄，触摸无尘，盆裁、盆景内无杂物、烟头、纸屑、摆放美观。</w:t>
            </w:r>
          </w:p>
        </w:tc>
      </w:tr>
      <w:tr w14:paraId="7F36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0" w:type="auto"/>
            <w:vMerge w:val="continue"/>
            <w:tcBorders>
              <w:right w:val="single" w:color="auto" w:sz="4" w:space="0"/>
            </w:tcBorders>
            <w:noWrap w:val="0"/>
            <w:vAlign w:val="center"/>
          </w:tcPr>
          <w:p w14:paraId="5CA5EE5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p>
        </w:tc>
        <w:tc>
          <w:tcPr>
            <w:tcW w:w="1457" w:type="dxa"/>
            <w:tcBorders>
              <w:left w:val="single" w:color="auto" w:sz="4" w:space="0"/>
              <w:right w:val="single" w:color="auto" w:sz="4" w:space="0"/>
            </w:tcBorders>
            <w:noWrap w:val="0"/>
            <w:vAlign w:val="center"/>
          </w:tcPr>
          <w:p w14:paraId="2CFD943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环 道</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65CBB92B">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1.路面干净、平整、无纸屑、无污物、无大面积破坏；</w:t>
            </w:r>
          </w:p>
          <w:p w14:paraId="13445D7F">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2.花木：无枯枝、无大面积落叶；</w:t>
            </w:r>
          </w:p>
          <w:p w14:paraId="36455CE6">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3.高空：无蛛网、无落物、无安全隐患。</w:t>
            </w:r>
          </w:p>
          <w:p w14:paraId="7BB5856E">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4.绿化带内、草坪无纸屑、无杂物、无大面积裸露； </w:t>
            </w:r>
          </w:p>
        </w:tc>
      </w:tr>
      <w:tr w14:paraId="23FF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0" w:type="auto"/>
            <w:vMerge w:val="continue"/>
            <w:tcBorders>
              <w:right w:val="single" w:color="auto" w:sz="4" w:space="0"/>
            </w:tcBorders>
            <w:noWrap w:val="0"/>
            <w:vAlign w:val="center"/>
          </w:tcPr>
          <w:p w14:paraId="1794035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p>
        </w:tc>
        <w:tc>
          <w:tcPr>
            <w:tcW w:w="1457" w:type="dxa"/>
            <w:tcBorders>
              <w:left w:val="single" w:color="auto" w:sz="4" w:space="0"/>
            </w:tcBorders>
            <w:noWrap w:val="0"/>
            <w:vAlign w:val="center"/>
          </w:tcPr>
          <w:p w14:paraId="656C4D3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神兽池</w:t>
            </w:r>
          </w:p>
        </w:tc>
        <w:tc>
          <w:tcPr>
            <w:tcW w:w="6326" w:type="dxa"/>
            <w:tcBorders>
              <w:top w:val="single" w:color="auto" w:sz="4" w:space="0"/>
            </w:tcBorders>
            <w:noWrap w:val="0"/>
            <w:vAlign w:val="center"/>
          </w:tcPr>
          <w:p w14:paraId="74324BB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1.每日保证水池水质清亮，池内无杂物、无大面积漂浮物、无死鱼；</w:t>
            </w:r>
          </w:p>
          <w:p w14:paraId="067E0A5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2.一季度彻底清洁一次，神兽池水质清亮，池内无青苔、藻类浮游物，打捞清理潜水泵机坑内淤泥</w:t>
            </w:r>
          </w:p>
        </w:tc>
      </w:tr>
      <w:tr w14:paraId="13EA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0" w:type="auto"/>
            <w:vMerge w:val="continue"/>
            <w:tcBorders>
              <w:right w:val="single" w:color="auto" w:sz="4" w:space="0"/>
            </w:tcBorders>
            <w:noWrap w:val="0"/>
            <w:vAlign w:val="center"/>
          </w:tcPr>
          <w:p w14:paraId="3B11619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p>
        </w:tc>
        <w:tc>
          <w:tcPr>
            <w:tcW w:w="1457" w:type="dxa"/>
            <w:tcBorders>
              <w:left w:val="single" w:color="auto" w:sz="4" w:space="0"/>
            </w:tcBorders>
            <w:noWrap w:val="0"/>
            <w:vAlign w:val="center"/>
          </w:tcPr>
          <w:p w14:paraId="15FD895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花园连廊</w:t>
            </w:r>
          </w:p>
        </w:tc>
        <w:tc>
          <w:tcPr>
            <w:tcW w:w="6326" w:type="dxa"/>
            <w:tcBorders>
              <w:top w:val="single" w:color="auto" w:sz="4" w:space="0"/>
            </w:tcBorders>
            <w:noWrap w:val="0"/>
            <w:vAlign w:val="center"/>
          </w:tcPr>
          <w:p w14:paraId="2258DA83">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1.各楼梯地面无污渍及卫生死角，杂物、垃圾；</w:t>
            </w:r>
          </w:p>
          <w:p w14:paraId="57BB8CFF">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2.植物叶片无枯黄，触摸无尘，绿化带内无杂物、烟头、废纸；</w:t>
            </w:r>
          </w:p>
          <w:p w14:paraId="312CEB6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3.设施完好，地面无水渍，落叶、纸屑垃圾、污渍， 草坪灯柱完好，开启自如，光洁明亮，无蜘蛛网尘；</w:t>
            </w:r>
          </w:p>
          <w:p w14:paraId="1E3A533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4.连廊的扶手、桌椅保持干净，清洁，无污渍，绿化带内、草坪无纸屑、无杂物、无大面积裸露</w:t>
            </w:r>
          </w:p>
          <w:p w14:paraId="1CE12A9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5.垃圾桶内垃圾及时清理，烟灰缸内无纸屑无污物、无三个以上烟头；</w:t>
            </w:r>
          </w:p>
        </w:tc>
      </w:tr>
      <w:tr w14:paraId="2A53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0" w:type="auto"/>
            <w:vMerge w:val="continue"/>
            <w:tcBorders>
              <w:right w:val="single" w:color="auto" w:sz="4" w:space="0"/>
            </w:tcBorders>
            <w:noWrap w:val="0"/>
            <w:vAlign w:val="center"/>
          </w:tcPr>
          <w:p w14:paraId="71928BD5">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310BA6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游泳池</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2361F575">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每日保证游泳池外围地面干净、平整、无纸屑、无污物、无枯枝、无大面积落叶内无杂物；</w:t>
            </w:r>
          </w:p>
        </w:tc>
      </w:tr>
      <w:tr w14:paraId="4816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0" w:type="auto"/>
            <w:vMerge w:val="continue"/>
            <w:tcBorders>
              <w:right w:val="single" w:color="auto" w:sz="4" w:space="0"/>
            </w:tcBorders>
            <w:noWrap w:val="0"/>
            <w:vAlign w:val="center"/>
          </w:tcPr>
          <w:p w14:paraId="29095B1B">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26E8BE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喷 泉</w:t>
            </w:r>
          </w:p>
          <w:p w14:paraId="63CAC91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小 溪</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1A96F8A9">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1.每日保证喷水池、小溪沟水质清亮，池内无杂物、水生植物长势良好，无大面积漂浮物、无死鱼；</w:t>
            </w:r>
          </w:p>
          <w:p w14:paraId="2FBDDD7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2.一季度彻底清洁一次，喷水池、小溪沟水质清亮，池内无青苔、藻类浮游物，打捞清理潜水泵机坑内淤泥</w:t>
            </w:r>
          </w:p>
        </w:tc>
      </w:tr>
    </w:tbl>
    <w:p w14:paraId="2DAEA391">
      <w:pPr>
        <w:keepNext w:val="0"/>
        <w:keepLines w:val="0"/>
        <w:pageBreakBefore w:val="0"/>
        <w:widowControl/>
        <w:tabs>
          <w:tab w:val="left" w:pos="36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（三）</w:t>
      </w:r>
      <w:r>
        <w:rPr>
          <w:rFonts w:hint="eastAsia" w:ascii="宋体" w:hAnsi="宋体" w:eastAsia="宋体" w:cs="宋体"/>
          <w:bCs/>
          <w:sz w:val="24"/>
          <w:szCs w:val="24"/>
        </w:rPr>
        <w:t>绿化养护及工区卫生工作保障要求</w:t>
      </w:r>
    </w:p>
    <w:p w14:paraId="40E9C042">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需提供绿化养护及公区卫生清洁工作实施计划及管理方案。</w:t>
      </w:r>
    </w:p>
    <w:p w14:paraId="650ECF86">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必须接受甲方相关人员定期质量检查，如发现问题接到甲方通知后及时整改。</w:t>
      </w:r>
    </w:p>
    <w:p w14:paraId="041DC57C">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绿化养护及工区卫生工作人员必须遵守甲方各项规章制度，严禁进入与工作无关的区域，严禁动用甲方的与工作无关的设施及物品。</w:t>
      </w:r>
    </w:p>
    <w:p w14:paraId="52090785">
      <w:pPr>
        <w:pStyle w:val="2"/>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绿化养护及工区卫生服务所需一切费用（除水费）均由乙方承担；绿化养护及工区卫生服务公司工作人员的住宿、就餐、医疗、工伤、意外保险、治安等问题由乙方自行承担。</w:t>
      </w:r>
    </w:p>
    <w:p w14:paraId="6C168F6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三、服务地点：</w:t>
      </w:r>
      <w:r>
        <w:rPr>
          <w:rFonts w:hint="eastAsia" w:ascii="宋体" w:hAnsi="宋体" w:eastAsia="宋体" w:cs="宋体"/>
          <w:sz w:val="24"/>
          <w:szCs w:val="24"/>
        </w:rPr>
        <w:t>云南省红河州开远市智源路225号滇南凤凰酒店。</w:t>
      </w:r>
    </w:p>
    <w:p w14:paraId="6F3B3FC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val="0"/>
          <w:sz w:val="24"/>
          <w:szCs w:val="24"/>
          <w:lang w:val="en-US" w:eastAsia="zh-CN"/>
        </w:rPr>
        <w:t>四、服务期限：</w:t>
      </w:r>
      <w:r>
        <w:rPr>
          <w:rFonts w:hint="eastAsia" w:ascii="宋体" w:hAnsi="宋体" w:eastAsia="宋体" w:cs="宋体"/>
          <w:sz w:val="24"/>
          <w:szCs w:val="24"/>
        </w:rPr>
        <w:t>2025年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val="en-US" w:eastAsia="zh-CN"/>
        </w:rPr>
        <w:t>起</w:t>
      </w:r>
      <w:r>
        <w:rPr>
          <w:rFonts w:hint="eastAsia" w:ascii="宋体" w:hAnsi="宋体" w:eastAsia="宋体" w:cs="宋体"/>
          <w:sz w:val="24"/>
          <w:szCs w:val="24"/>
        </w:rPr>
        <w:t>至2026年4月15日</w:t>
      </w:r>
      <w:r>
        <w:rPr>
          <w:rFonts w:hint="eastAsia" w:ascii="宋体" w:hAnsi="宋体" w:eastAsia="宋体" w:cs="宋体"/>
          <w:sz w:val="24"/>
          <w:szCs w:val="24"/>
          <w:lang w:val="en-US" w:eastAsia="zh-CN"/>
        </w:rPr>
        <w:t>止</w:t>
      </w:r>
      <w:r>
        <w:rPr>
          <w:rFonts w:hint="eastAsia" w:ascii="宋体" w:hAnsi="宋体" w:eastAsia="宋体" w:cs="宋体"/>
          <w:sz w:val="24"/>
          <w:szCs w:val="24"/>
          <w:lang w:eastAsia="zh-CN"/>
        </w:rPr>
        <w:t>。</w:t>
      </w:r>
    </w:p>
    <w:p w14:paraId="4C76934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服务费用及付款方式</w:t>
      </w:r>
      <w:r>
        <w:rPr>
          <w:rFonts w:hint="eastAsia" w:ascii="宋体" w:hAnsi="宋体" w:eastAsia="宋体" w:cs="宋体"/>
          <w:b/>
          <w:bCs/>
          <w:sz w:val="24"/>
          <w:szCs w:val="24"/>
          <w:lang w:eastAsia="zh-CN"/>
        </w:rPr>
        <w:t>：</w:t>
      </w:r>
    </w:p>
    <w:tbl>
      <w:tblPr>
        <w:tblStyle w:val="22"/>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791"/>
        <w:gridCol w:w="4275"/>
      </w:tblGrid>
      <w:tr w14:paraId="627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829318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服务期间</w:t>
            </w:r>
          </w:p>
        </w:tc>
        <w:tc>
          <w:tcPr>
            <w:tcW w:w="1791" w:type="dxa"/>
            <w:vAlign w:val="center"/>
          </w:tcPr>
          <w:p w14:paraId="465A08E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服务费用</w:t>
            </w:r>
          </w:p>
        </w:tc>
        <w:tc>
          <w:tcPr>
            <w:tcW w:w="4275" w:type="dxa"/>
            <w:vAlign w:val="center"/>
          </w:tcPr>
          <w:p w14:paraId="06CE042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支付方式</w:t>
            </w:r>
          </w:p>
        </w:tc>
      </w:tr>
      <w:tr w14:paraId="5FDD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78D8A35">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2025.8.22-2025.8.31</w:t>
            </w:r>
          </w:p>
        </w:tc>
        <w:tc>
          <w:tcPr>
            <w:tcW w:w="1791" w:type="dxa"/>
            <w:vAlign w:val="center"/>
          </w:tcPr>
          <w:p w14:paraId="48DF053C">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5648.06元（含一棵树补种成本900元）</w:t>
            </w:r>
          </w:p>
        </w:tc>
        <w:tc>
          <w:tcPr>
            <w:tcW w:w="4275" w:type="dxa"/>
            <w:vMerge w:val="restart"/>
            <w:vAlign w:val="center"/>
          </w:tcPr>
          <w:p w14:paraId="3FA23FD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rPr>
              <w:t>先服务后付款，每个月结算一次，</w:t>
            </w:r>
            <w:r>
              <w:rPr>
                <w:rFonts w:hint="eastAsia" w:ascii="宋体" w:hAnsi="宋体" w:cs="宋体"/>
                <w:b w:val="0"/>
                <w:bCs w:val="0"/>
                <w:sz w:val="24"/>
                <w:szCs w:val="24"/>
                <w:lang w:val="en-US" w:eastAsia="zh-CN"/>
              </w:rPr>
              <w:t>采用银行转账方式支付，</w:t>
            </w:r>
            <w:r>
              <w:rPr>
                <w:rFonts w:hint="eastAsia" w:ascii="宋体" w:hAnsi="宋体" w:eastAsia="宋体" w:cs="宋体"/>
                <w:b w:val="0"/>
                <w:bCs w:val="0"/>
                <w:sz w:val="24"/>
                <w:szCs w:val="24"/>
                <w:lang w:eastAsia="zh-CN"/>
              </w:rPr>
              <w:t>支付原则遵循云南小龙潭矿务局有限责任公司滇南凤凰酒店分公司支付</w:t>
            </w:r>
            <w:r>
              <w:rPr>
                <w:rFonts w:hint="eastAsia" w:ascii="宋体" w:hAnsi="宋体" w:eastAsia="宋体" w:cs="宋体"/>
                <w:b w:val="0"/>
                <w:bCs w:val="0"/>
                <w:sz w:val="24"/>
                <w:szCs w:val="24"/>
                <w:lang w:val="en-US" w:eastAsia="zh-CN"/>
              </w:rPr>
              <w:t>服务费给甲方</w:t>
            </w:r>
            <w:r>
              <w:rPr>
                <w:rFonts w:hint="eastAsia" w:ascii="宋体" w:hAnsi="宋体" w:eastAsia="宋体" w:cs="宋体"/>
                <w:b w:val="0"/>
                <w:bCs w:val="0"/>
                <w:sz w:val="24"/>
                <w:szCs w:val="24"/>
                <w:lang w:eastAsia="zh-CN"/>
              </w:rPr>
              <w:t>后</w:t>
            </w:r>
            <w:r>
              <w:rPr>
                <w:rFonts w:hint="eastAsia" w:ascii="宋体" w:hAnsi="宋体" w:eastAsia="宋体" w:cs="宋体"/>
                <w:b w:val="0"/>
                <w:bCs w:val="0"/>
                <w:sz w:val="24"/>
                <w:szCs w:val="24"/>
                <w:lang w:val="en-US" w:eastAsia="zh-CN"/>
              </w:rPr>
              <w:t>7个工作日内</w:t>
            </w:r>
            <w:r>
              <w:rPr>
                <w:rFonts w:hint="eastAsia" w:ascii="宋体" w:hAnsi="宋体" w:eastAsia="宋体" w:cs="宋体"/>
                <w:b w:val="0"/>
                <w:bCs w:val="0"/>
                <w:sz w:val="24"/>
                <w:szCs w:val="24"/>
                <w:lang w:eastAsia="zh-CN"/>
              </w:rPr>
              <w:t>向乙方支付。</w:t>
            </w:r>
            <w:r>
              <w:rPr>
                <w:rFonts w:hint="eastAsia" w:ascii="宋体" w:hAnsi="宋体" w:eastAsia="宋体" w:cs="宋体"/>
                <w:b w:val="0"/>
                <w:bCs w:val="0"/>
                <w:sz w:val="24"/>
                <w:szCs w:val="24"/>
                <w:lang w:val="en-US" w:eastAsia="zh-CN"/>
              </w:rPr>
              <w:t>乙方应在甲方付款前向甲方提供</w:t>
            </w:r>
            <w:r>
              <w:rPr>
                <w:rFonts w:hint="eastAsia" w:ascii="宋体" w:hAnsi="宋体" w:cs="宋体"/>
                <w:b w:val="0"/>
                <w:bCs w:val="0"/>
                <w:sz w:val="24"/>
                <w:szCs w:val="24"/>
                <w:lang w:val="en-US" w:eastAsia="zh-CN"/>
              </w:rPr>
              <w:t>税率1%的普通发</w:t>
            </w:r>
            <w:r>
              <w:rPr>
                <w:rFonts w:hint="eastAsia" w:ascii="宋体" w:hAnsi="宋体" w:eastAsia="宋体" w:cs="宋体"/>
                <w:sz w:val="24"/>
                <w:szCs w:val="24"/>
              </w:rPr>
              <w:t>票</w:t>
            </w:r>
            <w:r>
              <w:rPr>
                <w:rFonts w:hint="eastAsia" w:ascii="宋体" w:hAnsi="宋体" w:eastAsia="宋体" w:cs="宋体"/>
                <w:sz w:val="24"/>
                <w:szCs w:val="24"/>
                <w:lang w:eastAsia="zh-CN"/>
              </w:rPr>
              <w:t>，</w:t>
            </w:r>
            <w:r>
              <w:rPr>
                <w:rFonts w:hint="eastAsia" w:ascii="宋体" w:hAnsi="宋体" w:eastAsia="宋体" w:cs="宋体"/>
                <w:sz w:val="24"/>
                <w:szCs w:val="24"/>
              </w:rPr>
              <w:t>乙方未按要求提供发票的，甲方有权拒绝付款且不承担违约责任。</w:t>
            </w:r>
          </w:p>
        </w:tc>
      </w:tr>
      <w:tr w14:paraId="27B2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D27F74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2025.9.1-2025.9.30</w:t>
            </w:r>
          </w:p>
        </w:tc>
        <w:tc>
          <w:tcPr>
            <w:tcW w:w="1791" w:type="dxa"/>
            <w:vAlign w:val="center"/>
          </w:tcPr>
          <w:p w14:paraId="1488B9C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43280C0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4907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6D926A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2025.10.1-2025.10.31</w:t>
            </w:r>
          </w:p>
        </w:tc>
        <w:tc>
          <w:tcPr>
            <w:tcW w:w="1791" w:type="dxa"/>
            <w:vAlign w:val="center"/>
          </w:tcPr>
          <w:p w14:paraId="0F239D6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2A9B71D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6F5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0B690C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2025.11.1-2025.11.30</w:t>
            </w:r>
          </w:p>
        </w:tc>
        <w:tc>
          <w:tcPr>
            <w:tcW w:w="1791" w:type="dxa"/>
            <w:vAlign w:val="center"/>
          </w:tcPr>
          <w:p w14:paraId="7D8F0AE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60E0AF7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0FCE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0D102D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2025.12.1-2025.12.31</w:t>
            </w:r>
          </w:p>
        </w:tc>
        <w:tc>
          <w:tcPr>
            <w:tcW w:w="1791" w:type="dxa"/>
            <w:vAlign w:val="center"/>
          </w:tcPr>
          <w:p w14:paraId="6B58244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4581C6E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6224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72D49E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2026.1.1-2026.1.31</w:t>
            </w:r>
          </w:p>
        </w:tc>
        <w:tc>
          <w:tcPr>
            <w:tcW w:w="1791" w:type="dxa"/>
            <w:vAlign w:val="center"/>
          </w:tcPr>
          <w:p w14:paraId="2FB09FE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7EDAF70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3E4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40" w:type="dxa"/>
            <w:vAlign w:val="center"/>
          </w:tcPr>
          <w:p w14:paraId="6349F03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2026.2.1-2026.2.28</w:t>
            </w:r>
          </w:p>
        </w:tc>
        <w:tc>
          <w:tcPr>
            <w:tcW w:w="1791" w:type="dxa"/>
            <w:vAlign w:val="center"/>
          </w:tcPr>
          <w:p w14:paraId="37664A8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14719.62元</w:t>
            </w:r>
          </w:p>
        </w:tc>
        <w:tc>
          <w:tcPr>
            <w:tcW w:w="4275" w:type="dxa"/>
            <w:vMerge w:val="continue"/>
            <w:vAlign w:val="center"/>
          </w:tcPr>
          <w:p w14:paraId="00FBCC8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2987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2840" w:type="dxa"/>
            <w:shd w:val="clear" w:color="auto" w:fill="auto"/>
            <w:vAlign w:val="center"/>
          </w:tcPr>
          <w:p w14:paraId="5BBF38D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2026.3.1-2026.3.31</w:t>
            </w:r>
          </w:p>
        </w:tc>
        <w:tc>
          <w:tcPr>
            <w:tcW w:w="1791" w:type="dxa"/>
            <w:shd w:val="clear" w:color="auto" w:fill="auto"/>
            <w:vAlign w:val="center"/>
          </w:tcPr>
          <w:p w14:paraId="78F33D9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b w:val="0"/>
                <w:bCs w:val="0"/>
                <w:sz w:val="24"/>
                <w:szCs w:val="24"/>
                <w:lang w:val="en-US" w:eastAsia="zh-CN"/>
              </w:rPr>
              <w:t>14719.62元</w:t>
            </w:r>
          </w:p>
        </w:tc>
        <w:tc>
          <w:tcPr>
            <w:tcW w:w="4275" w:type="dxa"/>
            <w:vMerge w:val="restart"/>
            <w:vAlign w:val="center"/>
          </w:tcPr>
          <w:p w14:paraId="67FC242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合同履行完毕后，</w:t>
            </w:r>
            <w:r>
              <w:rPr>
                <w:rFonts w:hint="eastAsia" w:ascii="宋体" w:hAnsi="宋体" w:eastAsia="宋体" w:cs="宋体"/>
                <w:sz w:val="24"/>
                <w:szCs w:val="24"/>
              </w:rPr>
              <w:t>乙方无违约行为，</w:t>
            </w:r>
            <w:r>
              <w:rPr>
                <w:rFonts w:hint="eastAsia" w:ascii="宋体" w:hAnsi="宋体" w:eastAsia="宋体" w:cs="宋体"/>
                <w:sz w:val="24"/>
                <w:szCs w:val="24"/>
                <w:lang w:val="en-US" w:eastAsia="zh-CN"/>
              </w:rPr>
              <w:t>在甲方收到</w:t>
            </w:r>
            <w:r>
              <w:rPr>
                <w:rFonts w:hint="eastAsia" w:ascii="宋体" w:hAnsi="宋体" w:eastAsia="宋体" w:cs="宋体"/>
                <w:b w:val="0"/>
                <w:bCs w:val="0"/>
                <w:sz w:val="24"/>
                <w:szCs w:val="24"/>
                <w:lang w:eastAsia="zh-CN"/>
              </w:rPr>
              <w:t>云南小龙潭矿务局有限责任公司滇南凤凰酒店分公司支付的</w:t>
            </w:r>
            <w:r>
              <w:rPr>
                <w:rFonts w:hint="eastAsia" w:ascii="宋体" w:hAnsi="宋体" w:eastAsia="宋体" w:cs="宋体"/>
                <w:b w:val="0"/>
                <w:bCs w:val="0"/>
                <w:sz w:val="24"/>
                <w:szCs w:val="24"/>
                <w:lang w:val="en-US" w:eastAsia="zh-CN"/>
              </w:rPr>
              <w:t>服务费及退还的履约保证金后7个工作日内</w:t>
            </w:r>
            <w:r>
              <w:rPr>
                <w:rFonts w:hint="eastAsia" w:ascii="宋体" w:hAnsi="宋体" w:eastAsia="宋体" w:cs="宋体"/>
                <w:b w:val="0"/>
                <w:bCs w:val="0"/>
                <w:sz w:val="24"/>
                <w:szCs w:val="24"/>
                <w:lang w:eastAsia="zh-CN"/>
              </w:rPr>
              <w:t>向乙方支付。</w:t>
            </w:r>
            <w:r>
              <w:rPr>
                <w:rFonts w:hint="eastAsia" w:ascii="宋体" w:hAnsi="宋体" w:cs="宋体"/>
                <w:b w:val="0"/>
                <w:bCs w:val="0"/>
                <w:sz w:val="24"/>
                <w:szCs w:val="24"/>
                <w:lang w:val="en-US" w:eastAsia="zh-CN"/>
              </w:rPr>
              <w:t>采用银行转账方式支付，</w:t>
            </w:r>
            <w:r>
              <w:rPr>
                <w:rFonts w:hint="eastAsia" w:ascii="宋体" w:hAnsi="宋体" w:eastAsia="宋体" w:cs="宋体"/>
                <w:b w:val="0"/>
                <w:bCs w:val="0"/>
                <w:sz w:val="24"/>
                <w:szCs w:val="24"/>
                <w:lang w:val="en-US" w:eastAsia="zh-CN"/>
              </w:rPr>
              <w:t>乙方应在甲方付款前向甲方提供</w:t>
            </w:r>
            <w:r>
              <w:rPr>
                <w:rFonts w:hint="eastAsia" w:ascii="宋体" w:hAnsi="宋体" w:cs="宋体"/>
                <w:b w:val="0"/>
                <w:bCs w:val="0"/>
                <w:sz w:val="24"/>
                <w:szCs w:val="24"/>
                <w:lang w:val="en-US" w:eastAsia="zh-CN"/>
              </w:rPr>
              <w:t>税率1%的普通</w:t>
            </w:r>
            <w:r>
              <w:rPr>
                <w:rFonts w:hint="eastAsia" w:ascii="宋体" w:hAnsi="宋体" w:eastAsia="宋体" w:cs="宋体"/>
                <w:sz w:val="24"/>
                <w:szCs w:val="24"/>
              </w:rPr>
              <w:t>发票</w:t>
            </w:r>
            <w:r>
              <w:rPr>
                <w:rFonts w:hint="eastAsia" w:ascii="宋体" w:hAnsi="宋体" w:eastAsia="宋体" w:cs="宋体"/>
                <w:sz w:val="24"/>
                <w:szCs w:val="24"/>
                <w:lang w:eastAsia="zh-CN"/>
              </w:rPr>
              <w:t>，</w:t>
            </w:r>
            <w:r>
              <w:rPr>
                <w:rFonts w:hint="eastAsia" w:ascii="宋体" w:hAnsi="宋体" w:eastAsia="宋体" w:cs="宋体"/>
                <w:sz w:val="24"/>
                <w:szCs w:val="24"/>
              </w:rPr>
              <w:t>乙方未按要求提供发票的，甲方有权拒绝付款且不承担违约责任。</w:t>
            </w:r>
          </w:p>
        </w:tc>
      </w:tr>
      <w:tr w14:paraId="2052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5A3944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2026.4.1-2026.4.15</w:t>
            </w:r>
          </w:p>
        </w:tc>
        <w:tc>
          <w:tcPr>
            <w:tcW w:w="1791" w:type="dxa"/>
            <w:vAlign w:val="center"/>
          </w:tcPr>
          <w:p w14:paraId="712D46C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7359.81</w:t>
            </w:r>
            <w:r>
              <w:rPr>
                <w:rFonts w:hint="eastAsia" w:ascii="宋体" w:hAnsi="宋体" w:eastAsia="宋体" w:cs="宋体"/>
                <w:b w:val="0"/>
                <w:bCs w:val="0"/>
                <w:sz w:val="24"/>
                <w:szCs w:val="24"/>
                <w:lang w:val="en-US" w:eastAsia="zh-CN"/>
              </w:rPr>
              <w:t>元</w:t>
            </w:r>
          </w:p>
        </w:tc>
        <w:tc>
          <w:tcPr>
            <w:tcW w:w="4275" w:type="dxa"/>
            <w:vMerge w:val="continue"/>
            <w:vAlign w:val="center"/>
          </w:tcPr>
          <w:p w14:paraId="0138F84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bl>
    <w:p w14:paraId="09E5565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说明：</w:t>
      </w:r>
    </w:p>
    <w:p w14:paraId="4E6CE4C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本价格为乙方完成本合同所有服务内容后甲方向乙方支付的包括但不限于人员、工资、福利、保险、设备、工具、肥料、农药、利润、税费等全部价款，甲方有权拒付合同价款以外的其他任何费用。</w:t>
      </w:r>
    </w:p>
    <w:p w14:paraId="2CC89E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2、若</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b w:val="0"/>
          <w:bCs w:val="0"/>
          <w:sz w:val="24"/>
          <w:szCs w:val="24"/>
          <w:lang w:val="en-US" w:eastAsia="zh-CN"/>
        </w:rPr>
        <w:t>扣款或其它任何原因减少支付或扣减甲方的履约保证金，则本合同服务费扣减同等金额后支付。</w:t>
      </w:r>
    </w:p>
    <w:p w14:paraId="740D86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甲方开票信息：</w:t>
      </w:r>
    </w:p>
    <w:p w14:paraId="3231293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名称：上海中高后勤服务(集团)有限公司</w:t>
      </w:r>
    </w:p>
    <w:p w14:paraId="6F5C55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地址：</w:t>
      </w:r>
      <w:r>
        <w:rPr>
          <w:rFonts w:hint="eastAsia" w:ascii="宋体" w:hAnsi="宋体" w:eastAsia="宋体" w:cs="宋体"/>
          <w:bCs/>
          <w:sz w:val="24"/>
          <w:szCs w:val="24"/>
          <w:lang w:eastAsia="zh-CN"/>
        </w:rPr>
        <w:t>上海市嘉定区华江路129弄7号J10157室</w:t>
      </w:r>
    </w:p>
    <w:p w14:paraId="24D935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纳税人识别号：91310105MA1FWM8G9K</w:t>
      </w:r>
    </w:p>
    <w:p w14:paraId="38C0B9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eastAsia="zh-CN"/>
        </w:rPr>
        <w:t>：</w:t>
      </w:r>
      <w:r>
        <w:rPr>
          <w:rFonts w:hint="eastAsia" w:ascii="宋体" w:hAnsi="宋体" w:eastAsia="宋体" w:cs="宋体"/>
          <w:sz w:val="24"/>
          <w:szCs w:val="24"/>
        </w:rPr>
        <w:t>中国建设银行股份有限公司上海临平路支行</w:t>
      </w:r>
    </w:p>
    <w:p w14:paraId="766606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账号：31050172440000002260</w:t>
      </w:r>
    </w:p>
    <w:p w14:paraId="68FAA4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sz w:val="24"/>
          <w:szCs w:val="24"/>
          <w:lang w:val="en-US" w:eastAsia="zh-CN"/>
        </w:rPr>
        <w:t>乙</w:t>
      </w:r>
      <w:r>
        <w:rPr>
          <w:rFonts w:hint="eastAsia" w:ascii="宋体" w:hAnsi="宋体" w:eastAsia="宋体" w:cs="宋体"/>
          <w:sz w:val="24"/>
          <w:szCs w:val="24"/>
        </w:rPr>
        <w:t>方</w:t>
      </w:r>
      <w:r>
        <w:rPr>
          <w:rFonts w:hint="eastAsia" w:ascii="宋体" w:hAnsi="宋体" w:cs="宋体"/>
          <w:sz w:val="24"/>
          <w:szCs w:val="24"/>
          <w:lang w:val="en-US" w:eastAsia="zh-CN"/>
        </w:rPr>
        <w:t>收款</w:t>
      </w:r>
      <w:r>
        <w:rPr>
          <w:rFonts w:hint="eastAsia" w:ascii="宋体" w:hAnsi="宋体" w:eastAsia="宋体" w:cs="宋体"/>
          <w:sz w:val="24"/>
          <w:szCs w:val="24"/>
        </w:rPr>
        <w:t>信息：</w:t>
      </w:r>
    </w:p>
    <w:p w14:paraId="059DE3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rPr>
        <w:t>名称：</w:t>
      </w:r>
      <w:r>
        <w:rPr>
          <w:rFonts w:hint="eastAsia" w:ascii="宋体" w:hAnsi="宋体" w:cs="宋体"/>
          <w:sz w:val="24"/>
          <w:szCs w:val="24"/>
          <w:lang w:val="en-US" w:eastAsia="zh-CN"/>
        </w:rPr>
        <w:t>昆明芯春物业管理有限公司</w:t>
      </w:r>
    </w:p>
    <w:p w14:paraId="1132C0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纳税人识别号：91530125MA6PKAUP24</w:t>
      </w:r>
    </w:p>
    <w:p w14:paraId="585CDB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eastAsia="zh-CN"/>
        </w:rPr>
        <w:t>：平安银行股份有限公司昆明分行营业部</w:t>
      </w:r>
    </w:p>
    <w:p w14:paraId="5ECA82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账号：15126827230090</w:t>
      </w:r>
    </w:p>
    <w:p w14:paraId="13B094E1">
      <w:pPr>
        <w:pStyle w:val="2"/>
        <w:rPr>
          <w:rFonts w:hint="eastAsia"/>
        </w:rPr>
      </w:pPr>
    </w:p>
    <w:p w14:paraId="267FABA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六、</w:t>
      </w:r>
      <w:r>
        <w:rPr>
          <w:rFonts w:hint="eastAsia" w:ascii="宋体" w:hAnsi="宋体" w:eastAsia="宋体" w:cs="宋体"/>
          <w:b/>
          <w:bCs/>
          <w:sz w:val="24"/>
          <w:szCs w:val="24"/>
        </w:rPr>
        <w:t>甲乙双方的权利和义务</w:t>
      </w:r>
    </w:p>
    <w:p w14:paraId="363422C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（一）甲方的权利和义务</w:t>
      </w:r>
    </w:p>
    <w:p w14:paraId="65E6F06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1、按照合同约定及时向乙方支付服务费用。</w:t>
      </w:r>
    </w:p>
    <w:p w14:paraId="3F6173B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（二）乙方的权利和义务</w:t>
      </w:r>
    </w:p>
    <w:p w14:paraId="34FCD57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乙方保证按本合同要求负责完成甲方项目，并保证提供的服务是满足</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sz w:val="24"/>
          <w:szCs w:val="24"/>
        </w:rPr>
        <w:t>需求（包括人员、软硬件）、符合国家有关标准、规范和服务标准的产品；并保证所提供服务成果满足</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sz w:val="24"/>
          <w:szCs w:val="24"/>
        </w:rPr>
        <w:t>使用要求。</w:t>
      </w:r>
    </w:p>
    <w:p w14:paraId="361EAEFB">
      <w:pPr>
        <w:keepNext w:val="0"/>
        <w:keepLines w:val="0"/>
        <w:pageBreakBefore w:val="0"/>
        <w:widowControl/>
        <w:kinsoku/>
        <w:wordWrap/>
        <w:overflowPunct/>
        <w:topLinePunct w:val="0"/>
        <w:bidi w:val="0"/>
        <w:adjustRightInd/>
        <w:snapToGrid/>
        <w:spacing w:line="36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sz w:val="24"/>
          <w:szCs w:val="24"/>
        </w:rPr>
        <w:t>有急需处理的绿化及公区卫生清洁方面的问题时，乙方应在一小时内响应并及时进行处理。如需突击卫生保洁、绿篱修剪时，乙方必须无条件配合。</w:t>
      </w:r>
    </w:p>
    <w:p w14:paraId="73248F25">
      <w:pPr>
        <w:keepNext w:val="0"/>
        <w:keepLines w:val="0"/>
        <w:pageBreakBefore w:val="0"/>
        <w:widowControl/>
        <w:kinsoku/>
        <w:wordWrap/>
        <w:overflowPunct/>
        <w:topLinePunct w:val="0"/>
        <w:bidi w:val="0"/>
        <w:adjustRightInd/>
        <w:snapToGrid/>
        <w:spacing w:line="36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履行合同期间内，由于乙方未按养护标准执行，造成绿化区范围内植物枯死、病虫害，乙方应及时补种原款同样规格（以上）植物还原。补种所发生的费用由乙方自行承担。乙方拒绝补种时，甲方有权单方面按照补种产生的费用扣减乙方相应的服务费。</w:t>
      </w:r>
    </w:p>
    <w:p w14:paraId="55BA86AD">
      <w:pPr>
        <w:keepNext w:val="0"/>
        <w:keepLines w:val="0"/>
        <w:pageBreakBefore w:val="0"/>
        <w:widowControl/>
        <w:kinsoku/>
        <w:wordWrap/>
        <w:overflowPunct/>
        <w:topLinePunct w:val="0"/>
        <w:bidi w:val="0"/>
        <w:adjustRightInd/>
        <w:snapToGrid/>
        <w:spacing w:line="360" w:lineRule="auto"/>
        <w:ind w:firstLine="5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合同有效期内，乙方对服务内容及成果提供完整的技术服务及保修与维护服务</w:t>
      </w:r>
      <w:r>
        <w:rPr>
          <w:rFonts w:hint="eastAsia" w:ascii="宋体" w:hAnsi="宋体" w:cs="宋体"/>
          <w:sz w:val="24"/>
          <w:szCs w:val="24"/>
          <w:lang w:eastAsia="zh-CN"/>
        </w:rPr>
        <w:t>（</w:t>
      </w:r>
      <w:r>
        <w:rPr>
          <w:rFonts w:hint="eastAsia" w:ascii="宋体" w:hAnsi="宋体" w:cs="宋体"/>
          <w:sz w:val="24"/>
          <w:szCs w:val="24"/>
          <w:lang w:val="en-US" w:eastAsia="zh-CN"/>
        </w:rPr>
        <w:t>自然灾害及人为故意损坏除外</w:t>
      </w:r>
      <w:r>
        <w:rPr>
          <w:rFonts w:hint="eastAsia" w:ascii="宋体" w:hAnsi="宋体" w:cs="宋体"/>
          <w:sz w:val="24"/>
          <w:szCs w:val="24"/>
          <w:lang w:eastAsia="zh-CN"/>
        </w:rPr>
        <w:t>）。</w:t>
      </w:r>
    </w:p>
    <w:p w14:paraId="6E22FE27">
      <w:pPr>
        <w:keepNext w:val="0"/>
        <w:keepLines w:val="0"/>
        <w:pageBreakBefore w:val="0"/>
        <w:widowControl/>
        <w:kinsoku/>
        <w:wordWrap/>
        <w:overflowPunct/>
        <w:topLinePunct w:val="0"/>
        <w:bidi w:val="0"/>
        <w:adjustRightInd/>
        <w:snapToGrid/>
        <w:spacing w:line="36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乙方保证甲方在本合同服务过程中（包含本项目配套软硬件）不受第三方提出侵犯其专利权、商标权和工业设计权的起诉。</w:t>
      </w:r>
    </w:p>
    <w:p w14:paraId="4BA9F7EE">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配合</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sz w:val="24"/>
          <w:szCs w:val="24"/>
        </w:rPr>
        <w:t>共同对服务内容及成果进行验收。</w:t>
      </w:r>
    </w:p>
    <w:p w14:paraId="4B765E7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7、乙方对其工作人员负有管理职责，应遵守法律法规、</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b w:val="0"/>
          <w:bCs w:val="0"/>
          <w:sz w:val="24"/>
          <w:szCs w:val="24"/>
          <w:lang w:val="en-US" w:eastAsia="zh-CN"/>
        </w:rPr>
        <w:t>相关规定</w:t>
      </w:r>
      <w:r>
        <w:rPr>
          <w:rFonts w:hint="eastAsia" w:ascii="宋体" w:hAnsi="宋体" w:eastAsia="宋体" w:cs="宋体"/>
          <w:sz w:val="24"/>
          <w:szCs w:val="24"/>
          <w:lang w:val="en-US" w:eastAsia="zh-CN"/>
        </w:rPr>
        <w:t>和安全生产规定，若乙方人员在服务过程中对自身或对他人的人身、财产造成损害，由乙方自行承担全部责任。</w:t>
      </w:r>
    </w:p>
    <w:p w14:paraId="3EE5A91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8、完成本项目所需的一切工具、耗材、劳保用品等均由乙方自行配备及提供。</w:t>
      </w:r>
    </w:p>
    <w:p w14:paraId="408D579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服务期间，乙方必须严格遵守</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bCs/>
          <w:sz w:val="24"/>
          <w:szCs w:val="24"/>
        </w:rPr>
        <w:t>的管理规定及安全操作规程，注重劳动者人身安全，做好各项防范工作，及时进行宣传教育工作，杜绝各类大、小安全事故的发生，在服务中发生一切事故，由乙方负责和承担，甲方不承担任何责任。</w:t>
      </w:r>
    </w:p>
    <w:p w14:paraId="49914D0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10、乙方在服务过程中若损坏或破坏云南小龙潭矿务局有限责任公司滇南凤凰酒店分公司的设施设备，乙方承担全部赔偿损失。</w:t>
      </w:r>
    </w:p>
    <w:p w14:paraId="737416AB">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11、未经甲方书面同意，不得以泄露、告知、公布、发表、转让或者其他任何方式使第三方知悉属于甲方的商业秘密，也不得在履行职务之外使用这些秘密信息。</w:t>
      </w:r>
    </w:p>
    <w:p w14:paraId="4C2910D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12、乙方所掌握的本项目的文件、资料、笔记、报告、信件、传真、磁带、磁盘、仪器以及其他任何形式的载体均归云南小龙潭矿务局有限责任公司滇南凤凰酒店分公司所有，无论这些信息有无商业上的价值。</w:t>
      </w:r>
    </w:p>
    <w:p w14:paraId="558C198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乙方对在工作过程中接触到的甲方及云南小龙潭矿务局有限责任公司滇南凤凰酒店分公司的任何资料、文件、数据（无论是书面的还是电子的）或者记载有上述信息的载体，以及对为甲方服务形成的任何交付物，负有为甲方及云南小龙潭矿务局有限责任公司滇南凤凰酒店分公司保密的责任。未经甲方书面同意，乙方不得以任何方式向任何第三方提供或透露；</w:t>
      </w:r>
    </w:p>
    <w:p w14:paraId="11FB3CF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甲方及云南小龙潭矿务局有限责任公司滇南凤凰酒店分公司向乙方提供的任何资料、文件和信息，在乙方服务结束后，乙方均应及时归还甲方及云南小龙潭矿务局有限责任公司滇南凤凰酒店分公司，对云南小龙潭矿务局有限责任公司滇南凤凰酒店分公司要求删除的电子文档从乙方及其雇员的电脑等存储设备上永久删除；</w:t>
      </w:r>
    </w:p>
    <w:p w14:paraId="2DFF24B3">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七、违约责任</w:t>
      </w:r>
    </w:p>
    <w:p w14:paraId="4FD85817">
      <w:pPr>
        <w:pStyle w:val="2"/>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在合同期间内，若乙方无正当理由单方终止合同，甲方将不支付任何费用，同时，乙方按照合同总价的</w:t>
      </w:r>
      <w:r>
        <w:rPr>
          <w:rFonts w:hint="eastAsia" w:ascii="宋体" w:hAnsi="宋体" w:cs="宋体"/>
          <w:bCs/>
          <w:sz w:val="24"/>
          <w:szCs w:val="24"/>
          <w:shd w:val="clear"/>
          <w:lang w:val="en-US" w:eastAsia="zh-CN"/>
        </w:rPr>
        <w:t>10</w:t>
      </w:r>
      <w:r>
        <w:rPr>
          <w:rFonts w:hint="eastAsia" w:ascii="宋体" w:hAnsi="宋体" w:eastAsia="宋体" w:cs="宋体"/>
          <w:bCs/>
          <w:sz w:val="24"/>
          <w:szCs w:val="24"/>
          <w:shd w:val="clear"/>
        </w:rPr>
        <w:t>%</w:t>
      </w:r>
      <w:r>
        <w:rPr>
          <w:rFonts w:hint="eastAsia" w:ascii="宋体" w:hAnsi="宋体" w:eastAsia="宋体" w:cs="宋体"/>
          <w:bCs/>
          <w:sz w:val="24"/>
          <w:szCs w:val="24"/>
        </w:rPr>
        <w:t>向甲方支付违约金。违约金不足以弥补甲方损失的，甲方还有权继续追偿。</w:t>
      </w:r>
    </w:p>
    <w:p w14:paraId="42ADE9D0">
      <w:pPr>
        <w:pStyle w:val="2"/>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未按照合同约定的服务标准提供服务的，甲方有权要求乙方立即采取补救措施予以补救并赔偿由此给甲方造成的损失，乙方拒绝补救或逾期补救或合同期限内累计3次发生前述情况或乙方累计2次补救后仍不符合同约定的标准的，乙方按照合同总价的</w:t>
      </w:r>
      <w:r>
        <w:rPr>
          <w:rFonts w:hint="eastAsia" w:ascii="宋体" w:hAnsi="宋体" w:cs="宋体"/>
          <w:sz w:val="24"/>
          <w:szCs w:val="24"/>
          <w:shd w:val="clear"/>
          <w:lang w:val="en-US" w:eastAsia="zh-CN"/>
        </w:rPr>
        <w:t>10</w:t>
      </w:r>
      <w:r>
        <w:rPr>
          <w:rFonts w:hint="eastAsia" w:ascii="宋体" w:hAnsi="宋体" w:eastAsia="宋体" w:cs="宋体"/>
          <w:sz w:val="24"/>
          <w:szCs w:val="24"/>
          <w:shd w:val="clear"/>
          <w:lang w:val="en-US" w:eastAsia="zh-CN"/>
        </w:rPr>
        <w:t>%</w:t>
      </w:r>
      <w:r>
        <w:rPr>
          <w:rFonts w:hint="eastAsia" w:ascii="宋体" w:hAnsi="宋体" w:eastAsia="宋体" w:cs="宋体"/>
          <w:sz w:val="24"/>
          <w:szCs w:val="24"/>
          <w:lang w:val="en-US" w:eastAsia="zh-CN"/>
        </w:rPr>
        <w:t>向甲方支付违约金。甲方还有权单方面解除本合同。</w:t>
      </w:r>
    </w:p>
    <w:p w14:paraId="5987F30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违反本合同约定的保密义务的，视为违约，甲方有权无条件解除双方签订的合同，并对留置在甲方的物资、产品、设备等享有留置权和处置权。乙方应向甲方赔偿由此给甲方造成的全部损失（包括但不限于直接损失、甲方为主张权益所发生的交通费、诉讼费、保全费、保全担保/保险费、公告费、差旅费、律师费等全部费用）。</w:t>
      </w:r>
    </w:p>
    <w:p w14:paraId="6DC4281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因乙方违约而导致甲方受第三方的侵权指控时，乙方应当承担甲方应诉而支付的一切费用，甲方因此而承担的侵权赔偿费用也应由乙方承担。</w:t>
      </w:r>
    </w:p>
    <w:p w14:paraId="44FF8F9D">
      <w:pPr>
        <w:keepNext w:val="0"/>
        <w:keepLines w:val="0"/>
        <w:pageBreakBefore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、终止与解除</w:t>
      </w:r>
    </w:p>
    <w:p w14:paraId="265EB9C3">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（一）本合同因下列情形终止或解除：</w:t>
      </w:r>
    </w:p>
    <w:p w14:paraId="1005CCDB">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1.本合同涉及的服务工作乙方已按照甲方要求完成的；</w:t>
      </w:r>
    </w:p>
    <w:p w14:paraId="2C1B4340">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2.甲乙双方协商终止的；</w:t>
      </w:r>
    </w:p>
    <w:p w14:paraId="1A7D86D7">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.因不可抗力导致本合同不能继续履行的；</w:t>
      </w:r>
    </w:p>
    <w:p w14:paraId="38EF7839">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.乙方或其法定代表人或主要负责人触犯国家刑法被相关部门采取强制措施的，甲方认为不利于合同继续履行的；</w:t>
      </w:r>
    </w:p>
    <w:p w14:paraId="799FBD6C">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.乙方存在失信、被吊销营业执照、法定代表人失踪/宣告失踪、法定代表人死亡/宣告死亡、乙方法定代表人连续3天甲方无法取得联系等，甲方认为不利于合同继续履行的；</w:t>
      </w:r>
    </w:p>
    <w:p w14:paraId="0C44FA8E">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.乙方解散、清算、破产的；</w:t>
      </w:r>
    </w:p>
    <w:p w14:paraId="00916E62">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.其他本合同约定的情形；</w:t>
      </w:r>
    </w:p>
    <w:p w14:paraId="7BB192E1">
      <w:pPr>
        <w:keepNext w:val="0"/>
        <w:keepLines w:val="0"/>
        <w:pageBreakBefore w:val="0"/>
        <w:tabs>
          <w:tab w:val="left" w:pos="1858"/>
        </w:tabs>
        <w:kinsoku/>
        <w:wordWrap/>
        <w:overflowPunct/>
        <w:topLinePunct w:val="0"/>
        <w:autoSpaceDE w:val="0"/>
        <w:autoSpaceDN w:val="0"/>
        <w:bidi w:val="0"/>
        <w:adjustRightInd/>
        <w:snapToGrid/>
        <w:spacing w:line="360" w:lineRule="auto"/>
        <w:ind w:firstLine="480" w:firstLineChars="200"/>
        <w:contextualSpacing/>
        <w:jc w:val="left"/>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.法律法规规定的其他情形。</w:t>
      </w:r>
    </w:p>
    <w:p w14:paraId="47ADA7E3">
      <w:pPr>
        <w:keepNext w:val="0"/>
        <w:keepLines w:val="0"/>
        <w:pageBreakBefore w:val="0"/>
        <w:kinsoku/>
        <w:wordWrap/>
        <w:overflowPunct/>
        <w:topLinePunct w:val="0"/>
        <w:bidi w:val="0"/>
        <w:adjustRightInd/>
        <w:snapToGrid/>
        <w:spacing w:line="360" w:lineRule="auto"/>
        <w:ind w:firstLine="560"/>
        <w:jc w:val="both"/>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无论因何种原因本合同终止或解除后，涉及需要乙方清场退场的，乙方应当在本合同终止或解除后3日内予以清场退场，否则甲方有权自行或委托他人进行清场退场，由此造成甲方损失及甲方所发生的费用均由乙方承担，同时对于乙方遗留在甲方场地上的物品将均可视为乙方的遗弃物。</w:t>
      </w:r>
    </w:p>
    <w:p w14:paraId="2B939687">
      <w:pPr>
        <w:keepNext w:val="0"/>
        <w:keepLines w:val="0"/>
        <w:pageBreakBefore w:val="0"/>
        <w:kinsoku/>
        <w:wordWrap/>
        <w:overflowPunct/>
        <w:topLinePunct w:val="0"/>
        <w:bidi w:val="0"/>
        <w:adjustRightInd/>
        <w:snapToGrid/>
        <w:spacing w:line="360" w:lineRule="auto"/>
        <w:ind w:firstLine="560"/>
        <w:jc w:val="both"/>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）无论因何种原因本合同终止或解除后，需要乙方向甲方移交相关服务资料等，若乙方拒绝移交或移交不完整的，甲方有权拒绝结算相关服务款项。</w:t>
      </w:r>
    </w:p>
    <w:p w14:paraId="3F792024">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九、争议解决及管辖</w:t>
      </w:r>
    </w:p>
    <w:p w14:paraId="3C453B89">
      <w:pPr>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合同履行中发生争议，双方应协商解决，协商不成，任何一方均有权向甲方所在地有管辖权的人民法院提起诉讼。</w:t>
      </w:r>
    </w:p>
    <w:p w14:paraId="1DBD9444">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十、其他</w:t>
      </w:r>
    </w:p>
    <w:p w14:paraId="113A2F10">
      <w:pPr>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本合同履行过程中，乙方充分认可基于</w:t>
      </w:r>
      <w:r>
        <w:rPr>
          <w:rFonts w:hint="eastAsia" w:ascii="宋体" w:hAnsi="宋体" w:eastAsia="宋体" w:cs="宋体"/>
          <w:sz w:val="24"/>
          <w:szCs w:val="24"/>
          <w:lang w:val="en-US" w:eastAsia="zh-CN"/>
        </w:rPr>
        <w:t>本项目</w:t>
      </w:r>
      <w:r>
        <w:rPr>
          <w:rFonts w:hint="eastAsia" w:ascii="宋体" w:hAnsi="宋体" w:eastAsia="宋体" w:cs="宋体"/>
          <w:sz w:val="24"/>
          <w:szCs w:val="24"/>
        </w:rPr>
        <w:t>的特殊性，因政策调整、</w:t>
      </w:r>
      <w:r>
        <w:rPr>
          <w:rFonts w:hint="eastAsia" w:ascii="宋体" w:hAnsi="宋体" w:eastAsia="宋体" w:cs="宋体"/>
          <w:b w:val="0"/>
          <w:bCs w:val="0"/>
          <w:sz w:val="24"/>
          <w:szCs w:val="24"/>
          <w:lang w:eastAsia="zh-CN"/>
        </w:rPr>
        <w:t>云南小龙潭矿务局有限责任公司滇南凤凰酒店分公司</w:t>
      </w:r>
      <w:r>
        <w:rPr>
          <w:rFonts w:hint="eastAsia" w:ascii="宋体" w:hAnsi="宋体" w:eastAsia="宋体" w:cs="宋体"/>
          <w:b w:val="0"/>
          <w:bCs w:val="0"/>
          <w:sz w:val="24"/>
          <w:szCs w:val="24"/>
          <w:lang w:val="en-US" w:eastAsia="zh-CN"/>
        </w:rPr>
        <w:t>及其上级</w:t>
      </w:r>
      <w:r>
        <w:rPr>
          <w:rFonts w:hint="eastAsia" w:ascii="宋体" w:hAnsi="宋体" w:eastAsia="宋体" w:cs="宋体"/>
          <w:sz w:val="24"/>
          <w:szCs w:val="24"/>
        </w:rPr>
        <w:t>原因、安全需要等导致本合同不能继续履行时，甲乙双方友好协商解决，协商不成的，</w:t>
      </w:r>
      <w:r>
        <w:rPr>
          <w:rFonts w:hint="eastAsia" w:ascii="宋体" w:hAnsi="宋体" w:eastAsia="宋体" w:cs="宋体"/>
          <w:sz w:val="24"/>
          <w:szCs w:val="24"/>
          <w:lang w:val="en-US" w:eastAsia="zh-CN"/>
        </w:rPr>
        <w:t>甲方</w:t>
      </w:r>
      <w:r>
        <w:rPr>
          <w:rFonts w:hint="eastAsia" w:ascii="宋体" w:hAnsi="宋体" w:eastAsia="宋体" w:cs="宋体"/>
          <w:sz w:val="24"/>
          <w:szCs w:val="24"/>
        </w:rPr>
        <w:t>有权单方面解除本合同且不视为违约。</w:t>
      </w:r>
    </w:p>
    <w:p w14:paraId="666DE41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十一、本合同未尽事宜，参照《云南小龙潭矿务局有限责任公司滇南凤凰酒店分公司绿化养护、卫生保洁、垃圾清运服务合同》（合同编号：DNFF-2025-HSKP-12）执行。</w:t>
      </w:r>
    </w:p>
    <w:p w14:paraId="1B8DB3D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十二、本合同及其附件一式肆份，甲方执贰份，乙方执贰份，自甲乙双方签订后生效，均具有同等法律效力。</w:t>
      </w:r>
    </w:p>
    <w:p w14:paraId="5C9463FB">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rPr>
      </w:pPr>
    </w:p>
    <w:p w14:paraId="43D40E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甲方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盖章</w:t>
      </w:r>
      <w:r>
        <w:rPr>
          <w:rFonts w:hint="eastAsia" w:ascii="宋体" w:hAnsi="宋体" w:eastAsia="宋体" w:cs="宋体"/>
          <w:bCs/>
          <w:sz w:val="24"/>
          <w:szCs w:val="24"/>
          <w:lang w:eastAsia="zh-CN"/>
        </w:rPr>
        <w:t>）</w:t>
      </w:r>
      <w:r>
        <w:rPr>
          <w:rFonts w:hint="eastAsia" w:ascii="宋体" w:hAnsi="宋体" w:eastAsia="宋体" w:cs="宋体"/>
          <w:bCs/>
          <w:sz w:val="24"/>
          <w:szCs w:val="24"/>
        </w:rPr>
        <w:t>：上海中高后勤服务（集团）有限公司</w:t>
      </w:r>
    </w:p>
    <w:p w14:paraId="0B35DC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地址：</w:t>
      </w:r>
      <w:r>
        <w:rPr>
          <w:rFonts w:hint="eastAsia" w:ascii="宋体" w:hAnsi="宋体" w:eastAsia="宋体" w:cs="宋体"/>
          <w:bCs/>
          <w:sz w:val="24"/>
          <w:szCs w:val="24"/>
          <w:lang w:eastAsia="zh-CN"/>
        </w:rPr>
        <w:t>上海市嘉定区华江路129弄7号J10157室</w:t>
      </w:r>
    </w:p>
    <w:p w14:paraId="6E7582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法定代表人或授权代表人（签字或盖章）：</w:t>
      </w:r>
    </w:p>
    <w:p w14:paraId="5908C5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联系电话：0871-65188308</w:t>
      </w:r>
    </w:p>
    <w:p w14:paraId="246C5B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签订日期：</w:t>
      </w:r>
    </w:p>
    <w:p w14:paraId="2DAE1C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p>
    <w:p w14:paraId="5A6567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val="en-US" w:eastAsia="zh-CN"/>
        </w:rPr>
        <w:t>乙方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盖章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：昆明芯春物业管理有限公司</w:t>
      </w:r>
    </w:p>
    <w:p w14:paraId="22D14A85">
      <w:pPr>
        <w:keepNext w:val="0"/>
        <w:keepLines w:val="0"/>
        <w:pageBreakBefore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地址：云南省昆明市五华区红云街道办龙泉路348号右营小区一单元201  法定代表人或授权代表人（签字或盖章）：</w:t>
      </w:r>
    </w:p>
    <w:p w14:paraId="6B1E670E">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联系电话：15812039281</w:t>
      </w:r>
    </w:p>
    <w:p w14:paraId="1748DD7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签订日期：</w:t>
      </w:r>
    </w:p>
    <w:sectPr>
      <w:footerReference r:id="rId5"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C260">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688D1">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688D1">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925D8"/>
    <w:rsid w:val="024A7A7A"/>
    <w:rsid w:val="028C3292"/>
    <w:rsid w:val="02B50F9F"/>
    <w:rsid w:val="02DF33D0"/>
    <w:rsid w:val="03A2537A"/>
    <w:rsid w:val="03F309DC"/>
    <w:rsid w:val="06060260"/>
    <w:rsid w:val="08E56831"/>
    <w:rsid w:val="0AFC3C93"/>
    <w:rsid w:val="0B8F37A3"/>
    <w:rsid w:val="0C5823BF"/>
    <w:rsid w:val="0D134D21"/>
    <w:rsid w:val="0D781C2B"/>
    <w:rsid w:val="0DB427EC"/>
    <w:rsid w:val="0E1C51D3"/>
    <w:rsid w:val="0EEA7B9E"/>
    <w:rsid w:val="0F025937"/>
    <w:rsid w:val="0F046746"/>
    <w:rsid w:val="0F4E7D82"/>
    <w:rsid w:val="10482BD9"/>
    <w:rsid w:val="119427EB"/>
    <w:rsid w:val="12507F11"/>
    <w:rsid w:val="134A14DF"/>
    <w:rsid w:val="13F95295"/>
    <w:rsid w:val="14583166"/>
    <w:rsid w:val="14EC447B"/>
    <w:rsid w:val="154C0D9E"/>
    <w:rsid w:val="1558310B"/>
    <w:rsid w:val="16135766"/>
    <w:rsid w:val="17B07994"/>
    <w:rsid w:val="181E0F77"/>
    <w:rsid w:val="19416B6E"/>
    <w:rsid w:val="1ADA42A3"/>
    <w:rsid w:val="1C65221C"/>
    <w:rsid w:val="1CAC2403"/>
    <w:rsid w:val="1CCA05F1"/>
    <w:rsid w:val="1CCB3AD7"/>
    <w:rsid w:val="2324545D"/>
    <w:rsid w:val="23B743E2"/>
    <w:rsid w:val="23EA6943"/>
    <w:rsid w:val="24875BCE"/>
    <w:rsid w:val="2494234B"/>
    <w:rsid w:val="25005962"/>
    <w:rsid w:val="25942485"/>
    <w:rsid w:val="260D7C7D"/>
    <w:rsid w:val="26341C05"/>
    <w:rsid w:val="26982200"/>
    <w:rsid w:val="26A7009D"/>
    <w:rsid w:val="270F12F9"/>
    <w:rsid w:val="272947A0"/>
    <w:rsid w:val="273B09C3"/>
    <w:rsid w:val="27992C87"/>
    <w:rsid w:val="287E396A"/>
    <w:rsid w:val="2A1D2C3D"/>
    <w:rsid w:val="2B8F04CF"/>
    <w:rsid w:val="2BE92440"/>
    <w:rsid w:val="3008069B"/>
    <w:rsid w:val="30A07E54"/>
    <w:rsid w:val="331A3550"/>
    <w:rsid w:val="3398420B"/>
    <w:rsid w:val="35AA386B"/>
    <w:rsid w:val="36155D63"/>
    <w:rsid w:val="36E2464A"/>
    <w:rsid w:val="38A516F8"/>
    <w:rsid w:val="390925D8"/>
    <w:rsid w:val="395F4D2D"/>
    <w:rsid w:val="39BA75A7"/>
    <w:rsid w:val="3AA14B35"/>
    <w:rsid w:val="3AE86699"/>
    <w:rsid w:val="3C127A2E"/>
    <w:rsid w:val="3C45179D"/>
    <w:rsid w:val="3C5418A7"/>
    <w:rsid w:val="3CEB309F"/>
    <w:rsid w:val="3D4B53AD"/>
    <w:rsid w:val="3DFC3483"/>
    <w:rsid w:val="3E86719B"/>
    <w:rsid w:val="3E903218"/>
    <w:rsid w:val="40CB615D"/>
    <w:rsid w:val="40D123F3"/>
    <w:rsid w:val="43687141"/>
    <w:rsid w:val="445D2E02"/>
    <w:rsid w:val="46A72D89"/>
    <w:rsid w:val="46F333C9"/>
    <w:rsid w:val="47F10534"/>
    <w:rsid w:val="49427B8B"/>
    <w:rsid w:val="49F648DB"/>
    <w:rsid w:val="4A8561FD"/>
    <w:rsid w:val="4B427C4A"/>
    <w:rsid w:val="4CD604E3"/>
    <w:rsid w:val="4E811EDC"/>
    <w:rsid w:val="4F2E5D4E"/>
    <w:rsid w:val="4F456FB1"/>
    <w:rsid w:val="5290632A"/>
    <w:rsid w:val="53A35857"/>
    <w:rsid w:val="53CB5A7A"/>
    <w:rsid w:val="544F59CC"/>
    <w:rsid w:val="55D07A64"/>
    <w:rsid w:val="590F0E32"/>
    <w:rsid w:val="596578A1"/>
    <w:rsid w:val="59CC0D4E"/>
    <w:rsid w:val="5A797DB0"/>
    <w:rsid w:val="5C810371"/>
    <w:rsid w:val="5E744D29"/>
    <w:rsid w:val="5F9F429C"/>
    <w:rsid w:val="60A66613"/>
    <w:rsid w:val="60BF336D"/>
    <w:rsid w:val="60E90A83"/>
    <w:rsid w:val="610B17C6"/>
    <w:rsid w:val="616E50EE"/>
    <w:rsid w:val="61DB3D5A"/>
    <w:rsid w:val="631824BF"/>
    <w:rsid w:val="6396702F"/>
    <w:rsid w:val="65AB66C0"/>
    <w:rsid w:val="66297351"/>
    <w:rsid w:val="678426B5"/>
    <w:rsid w:val="67E04051"/>
    <w:rsid w:val="69D61CCF"/>
    <w:rsid w:val="6AC04ECC"/>
    <w:rsid w:val="6B836928"/>
    <w:rsid w:val="6B8425F1"/>
    <w:rsid w:val="6CC46E9F"/>
    <w:rsid w:val="6CC54921"/>
    <w:rsid w:val="6D817188"/>
    <w:rsid w:val="6F5D26EC"/>
    <w:rsid w:val="6FFB1E12"/>
    <w:rsid w:val="70A579DF"/>
    <w:rsid w:val="73EF2019"/>
    <w:rsid w:val="74C44C40"/>
    <w:rsid w:val="75C15878"/>
    <w:rsid w:val="77811163"/>
    <w:rsid w:val="77C8166E"/>
    <w:rsid w:val="785267ED"/>
    <w:rsid w:val="79A60A14"/>
    <w:rsid w:val="7AF351F5"/>
    <w:rsid w:val="7CA5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left"/>
    </w:pPr>
    <w:rPr>
      <w:rFonts w:ascii="Calibri" w:hAnsi="Calibri" w:eastAsia="宋体" w:cs="Times New Roman"/>
      <w:kern w:val="2"/>
      <w:sz w:val="24"/>
      <w:szCs w:val="22"/>
      <w:lang w:val="en-US" w:eastAsia="zh-CN" w:bidi="ar-SA"/>
    </w:rPr>
  </w:style>
  <w:style w:type="paragraph" w:styleId="3">
    <w:name w:val="heading 1"/>
    <w:basedOn w:val="1"/>
    <w:next w:val="1"/>
    <w:link w:val="27"/>
    <w:qFormat/>
    <w:uiPriority w:val="0"/>
    <w:pPr>
      <w:keepNext w:val="0"/>
      <w:keepLines/>
      <w:widowControl w:val="0"/>
      <w:kinsoku/>
      <w:autoSpaceDE/>
      <w:autoSpaceDN/>
      <w:spacing w:beforeLines="0" w:beforeAutospacing="0" w:afterLines="0" w:afterAutospacing="0" w:line="720" w:lineRule="auto"/>
      <w:ind w:firstLine="0" w:firstLineChars="0"/>
      <w:jc w:val="center"/>
      <w:outlineLvl w:val="0"/>
    </w:pPr>
    <w:rPr>
      <w:rFonts w:ascii="宋体" w:hAnsi="宋体" w:eastAsia="宋体" w:cs="宋体"/>
      <w:b/>
      <w:bCs/>
      <w:kern w:val="44"/>
      <w:sz w:val="36"/>
      <w:szCs w:val="36"/>
      <w:lang w:val="zh-CN" w:bidi="zh-CN"/>
    </w:rPr>
  </w:style>
  <w:style w:type="paragraph" w:styleId="4">
    <w:name w:val="heading 2"/>
    <w:basedOn w:val="1"/>
    <w:next w:val="1"/>
    <w:link w:val="28"/>
    <w:semiHidden/>
    <w:unhideWhenUsed/>
    <w:qFormat/>
    <w:uiPriority w:val="0"/>
    <w:pPr>
      <w:keepNext/>
      <w:keepLines/>
      <w:snapToGrid/>
      <w:spacing w:line="360" w:lineRule="auto"/>
      <w:ind w:firstLine="0" w:firstLineChars="0"/>
      <w:jc w:val="center"/>
      <w:outlineLvl w:val="1"/>
    </w:pPr>
    <w:rPr>
      <w:rFonts w:ascii="宋体" w:hAnsi="宋体" w:eastAsia="宋体" w:cs="宋体"/>
      <w:b/>
      <w:sz w:val="32"/>
      <w:szCs w:val="32"/>
      <w:lang w:eastAsia="en-US"/>
    </w:rPr>
  </w:style>
  <w:style w:type="paragraph" w:styleId="5">
    <w:name w:val="heading 3"/>
    <w:basedOn w:val="1"/>
    <w:next w:val="1"/>
    <w:link w:val="24"/>
    <w:unhideWhenUsed/>
    <w:qFormat/>
    <w:uiPriority w:val="0"/>
    <w:pPr>
      <w:spacing w:before="0" w:beforeAutospacing="0" w:after="0" w:afterAutospacing="0"/>
      <w:jc w:val="center"/>
      <w:outlineLvl w:val="2"/>
    </w:pPr>
    <w:rPr>
      <w:rFonts w:hint="eastAsia" w:ascii="宋体" w:hAnsi="宋体" w:eastAsia="宋体" w:cs="宋体"/>
      <w:b/>
      <w:bCs/>
      <w:kern w:val="0"/>
      <w:sz w:val="30"/>
      <w:szCs w:val="30"/>
      <w:lang w:bidi="ar"/>
    </w:rPr>
  </w:style>
  <w:style w:type="paragraph" w:styleId="6">
    <w:name w:val="heading 4"/>
    <w:basedOn w:val="1"/>
    <w:next w:val="1"/>
    <w:link w:val="25"/>
    <w:semiHidden/>
    <w:unhideWhenUsed/>
    <w:qFormat/>
    <w:uiPriority w:val="0"/>
    <w:pPr>
      <w:keepLines/>
      <w:spacing w:before="0" w:beforeAutospacing="0" w:after="0" w:afterAutospacing="0"/>
      <w:jc w:val="center"/>
      <w:textAlignment w:val="baseline"/>
      <w:outlineLvl w:val="3"/>
    </w:pPr>
    <w:rPr>
      <w:rFonts w:hint="eastAsia" w:ascii="宋体" w:hAnsi="宋体" w:eastAsia="宋体" w:cs="宋体"/>
      <w:b/>
      <w:bCs/>
      <w:kern w:val="0"/>
      <w:sz w:val="28"/>
      <w:szCs w:val="28"/>
      <w:lang w:bidi="ar"/>
    </w:rPr>
  </w:style>
  <w:style w:type="paragraph" w:styleId="7">
    <w:name w:val="heading 5"/>
    <w:basedOn w:val="1"/>
    <w:next w:val="1"/>
    <w:semiHidden/>
    <w:unhideWhenUsed/>
    <w:qFormat/>
    <w:uiPriority w:val="0"/>
    <w:pPr>
      <w:keepNext w:val="0"/>
      <w:keepLines/>
      <w:widowControl w:val="0"/>
      <w:kinsoku/>
      <w:autoSpaceDE/>
      <w:autoSpaceDN/>
      <w:spacing w:beforeLines="0" w:beforeAutospacing="0" w:afterLines="0" w:afterAutospacing="0" w:line="360" w:lineRule="auto"/>
      <w:ind w:firstLine="0" w:firstLineChars="0"/>
      <w:jc w:val="left"/>
      <w:outlineLvl w:val="4"/>
    </w:pPr>
    <w:rPr>
      <w:rFonts w:ascii="宋体" w:hAnsi="宋体" w:eastAsia="宋体" w:cs="宋体"/>
      <w:b/>
      <w:bCs/>
      <w:snapToGrid w:val="0"/>
      <w:color w:val="000000"/>
      <w:kern w:val="0"/>
      <w:lang w:eastAsia="en-US"/>
    </w:rPr>
  </w:style>
  <w:style w:type="paragraph" w:styleId="8">
    <w:name w:val="heading 6"/>
    <w:basedOn w:val="1"/>
    <w:next w:val="1"/>
    <w:link w:val="26"/>
    <w:semiHidden/>
    <w:unhideWhenUsed/>
    <w:qFormat/>
    <w:uiPriority w:val="0"/>
    <w:pPr>
      <w:keepNext/>
      <w:keepLines/>
      <w:spacing w:beforeLines="0" w:beforeAutospacing="0" w:afterLines="0" w:afterAutospacing="0" w:line="360" w:lineRule="auto"/>
      <w:ind w:firstLine="0" w:firstLineChars="0"/>
      <w:jc w:val="left"/>
      <w:outlineLvl w:val="5"/>
    </w:pPr>
    <w:rPr>
      <w:rFonts w:ascii="宋体" w:hAnsi="宋体" w:eastAsia="宋体" w:cs="宋体"/>
      <w:b/>
    </w:rPr>
  </w:style>
  <w:style w:type="paragraph" w:styleId="9">
    <w:name w:val="heading 7"/>
    <w:basedOn w:val="1"/>
    <w:next w:val="1"/>
    <w:semiHidden/>
    <w:unhideWhenUsed/>
    <w:qFormat/>
    <w:uiPriority w:val="0"/>
    <w:pPr>
      <w:keepNext w:val="0"/>
      <w:keepLines/>
      <w:spacing w:beforeLines="0" w:beforeAutospacing="0" w:afterLines="0" w:afterAutospacing="0" w:line="360" w:lineRule="auto"/>
      <w:outlineLvl w:val="6"/>
    </w:pPr>
    <w:rPr>
      <w:b/>
    </w:rPr>
  </w:style>
  <w:style w:type="paragraph" w:styleId="10">
    <w:name w:val="heading 8"/>
    <w:basedOn w:val="1"/>
    <w:next w:val="1"/>
    <w:semiHidden/>
    <w:unhideWhenUsed/>
    <w:qFormat/>
    <w:uiPriority w:val="0"/>
    <w:pPr>
      <w:keepNext/>
      <w:keepLines/>
      <w:spacing w:beforeLines="0" w:beforeAutospacing="0" w:afterLines="0" w:afterAutospacing="0" w:line="360" w:lineRule="auto"/>
      <w:outlineLvl w:val="7"/>
    </w:pPr>
    <w:rPr>
      <w:rFonts w:cs="宋体"/>
      <w:b/>
      <w:bCs/>
    </w:rPr>
  </w:style>
  <w:style w:type="paragraph" w:styleId="11">
    <w:name w:val="heading 9"/>
    <w:basedOn w:val="1"/>
    <w:next w:val="1"/>
    <w:semiHidden/>
    <w:unhideWhenUsed/>
    <w:qFormat/>
    <w:uiPriority w:val="0"/>
    <w:pPr>
      <w:keepNext/>
      <w:keepLines/>
      <w:spacing w:beforeLines="0" w:beforeAutospacing="0" w:afterLines="0" w:afterAutospacing="0" w:line="360" w:lineRule="auto"/>
      <w:outlineLvl w:val="8"/>
    </w:pPr>
  </w:style>
  <w:style w:type="character" w:default="1" w:styleId="23">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tabs>
        <w:tab w:val="left" w:pos="360"/>
      </w:tabs>
      <w:spacing w:line="460" w:lineRule="exact"/>
      <w:ind w:firstLine="420" w:firstLineChars="200"/>
      <w:jc w:val="both"/>
    </w:pPr>
    <w:rPr>
      <w:rFonts w:ascii="Calibri" w:hAnsi="Calibri" w:eastAsia="宋体" w:cs="Times New Roman"/>
      <w:kern w:val="2"/>
      <w:sz w:val="21"/>
      <w:szCs w:val="22"/>
      <w:lang w:val="en-US" w:eastAsia="zh-CN" w:bidi="ar-SA"/>
    </w:rPr>
  </w:style>
  <w:style w:type="paragraph" w:styleId="12">
    <w:name w:val="table of authorities"/>
    <w:basedOn w:val="1"/>
    <w:next w:val="1"/>
    <w:qFormat/>
    <w:uiPriority w:val="0"/>
    <w:pPr>
      <w:ind w:left="420" w:leftChars="200"/>
    </w:pPr>
  </w:style>
  <w:style w:type="paragraph" w:styleId="13">
    <w:name w:val="Normal Indent"/>
    <w:basedOn w:val="1"/>
    <w:qFormat/>
    <w:uiPriority w:val="0"/>
    <w:pPr>
      <w:ind w:firstLine="420" w:firstLineChars="200"/>
    </w:pPr>
  </w:style>
  <w:style w:type="paragraph" w:styleId="14">
    <w:name w:val="toa heading"/>
    <w:basedOn w:val="1"/>
    <w:next w:val="1"/>
    <w:qFormat/>
    <w:uiPriority w:val="0"/>
    <w:pPr>
      <w:spacing w:before="120" w:beforeLines="0" w:beforeAutospacing="0"/>
    </w:pPr>
    <w:rPr>
      <w:rFonts w:ascii="Arial" w:hAnsi="Arial"/>
      <w:sz w:val="24"/>
    </w:rPr>
  </w:style>
  <w:style w:type="paragraph" w:styleId="15">
    <w:name w:val="Body Text"/>
    <w:basedOn w:val="1"/>
    <w:qFormat/>
    <w:uiPriority w:val="0"/>
    <w:pPr>
      <w:spacing w:after="120" w:afterLines="0" w:afterAutospacing="0"/>
    </w:pPr>
  </w:style>
  <w:style w:type="paragraph" w:styleId="16">
    <w:name w:val="Body Text Indent"/>
    <w:basedOn w:val="1"/>
    <w:next w:val="17"/>
    <w:qFormat/>
    <w:uiPriority w:val="0"/>
    <w:pPr>
      <w:spacing w:after="120" w:afterLines="0" w:afterAutospacing="0"/>
      <w:ind w:left="420" w:leftChars="200"/>
    </w:pPr>
  </w:style>
  <w:style w:type="paragraph" w:styleId="17">
    <w:name w:val="envelope return"/>
    <w:qFormat/>
    <w:uiPriority w:val="0"/>
    <w:pPr>
      <w:widowControl w:val="0"/>
      <w:snapToGrid w:val="0"/>
      <w:jc w:val="both"/>
    </w:pPr>
    <w:rPr>
      <w:rFonts w:ascii="Arial" w:hAnsi="Arial" w:eastAsia="宋体" w:cs="Times New Roman"/>
      <w:kern w:val="2"/>
      <w:sz w:val="21"/>
      <w:lang w:val="en-US" w:eastAsia="zh-CN" w:bidi="ar-SA"/>
    </w:rPr>
  </w:style>
  <w:style w:type="paragraph" w:styleId="18">
    <w:name w:val="Plain Text"/>
    <w:basedOn w:val="1"/>
    <w:qFormat/>
    <w:uiPriority w:val="0"/>
    <w:rPr>
      <w:rFonts w:ascii="宋体" w:hAnsi="Courier New"/>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spacing w:line="240" w:lineRule="auto"/>
      <w:jc w:val="left"/>
      <w:textAlignment w:val="bottom"/>
      <w:outlineLvl w:val="9"/>
    </w:pPr>
    <w:rPr>
      <w:rFonts w:ascii="Arial" w:hAnsi="Arial" w:eastAsia="黑体"/>
      <w:snapToGrid/>
      <w:color w:val="00B050"/>
      <w:kern w:val="21"/>
      <w:sz w:val="18"/>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标题 3 Char"/>
    <w:link w:val="5"/>
    <w:qFormat/>
    <w:uiPriority w:val="0"/>
    <w:rPr>
      <w:rFonts w:ascii="宋体" w:hAnsi="宋体" w:eastAsia="宋体" w:cs="宋体"/>
      <w:b/>
      <w:bCs/>
      <w:kern w:val="2"/>
      <w:sz w:val="30"/>
      <w:szCs w:val="30"/>
      <w:lang w:eastAsia="zh-CN"/>
    </w:rPr>
  </w:style>
  <w:style w:type="character" w:customStyle="1" w:styleId="25">
    <w:name w:val="标题 4 Char"/>
    <w:link w:val="6"/>
    <w:qFormat/>
    <w:uiPriority w:val="0"/>
    <w:rPr>
      <w:rFonts w:ascii="宋体" w:hAnsi="宋体" w:eastAsia="宋体" w:cs="宋体"/>
      <w:b/>
      <w:bCs/>
      <w:sz w:val="28"/>
      <w:szCs w:val="28"/>
    </w:rPr>
  </w:style>
  <w:style w:type="character" w:customStyle="1" w:styleId="26">
    <w:name w:val="标题 6 Char"/>
    <w:link w:val="8"/>
    <w:qFormat/>
    <w:uiPriority w:val="0"/>
    <w:rPr>
      <w:rFonts w:ascii="宋体" w:hAnsi="宋体" w:eastAsia="宋体" w:cs="宋体"/>
      <w:b/>
    </w:rPr>
  </w:style>
  <w:style w:type="character" w:customStyle="1" w:styleId="27">
    <w:name w:val="标题 1 Char"/>
    <w:link w:val="3"/>
    <w:qFormat/>
    <w:uiPriority w:val="0"/>
    <w:rPr>
      <w:rFonts w:ascii="宋体" w:hAnsi="宋体" w:eastAsia="宋体" w:cs="宋体"/>
      <w:b/>
      <w:bCs/>
      <w:kern w:val="44"/>
      <w:sz w:val="36"/>
      <w:szCs w:val="36"/>
      <w:lang w:val="zh-CN" w:bidi="zh-CN"/>
    </w:rPr>
  </w:style>
  <w:style w:type="character" w:customStyle="1" w:styleId="28">
    <w:name w:val="标题 2 Char"/>
    <w:link w:val="4"/>
    <w:qFormat/>
    <w:uiPriority w:val="0"/>
    <w:rPr>
      <w:rFonts w:ascii="宋体" w:hAnsi="宋体" w:eastAsia="宋体" w:cs="宋体"/>
      <w:b/>
      <w:bCs/>
      <w:kern w:val="2"/>
      <w:sz w:val="32"/>
      <w:szCs w:val="3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5629</Words>
  <Characters>6067</Characters>
  <Lines>0</Lines>
  <Paragraphs>0</Paragraphs>
  <TotalTime>42</TotalTime>
  <ScaleCrop>false</ScaleCrop>
  <LinksUpToDate>false</LinksUpToDate>
  <CharactersWithSpaces>6076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2025-09-09T03:28:00Z</dcterms:created>
  <dc:creator>春华秋实</dc:creator>
  <cp:lastModifiedBy>林朝</cp:lastModifiedBy>
  <dcterms:modified xsi:type="dcterms:W3CDTF">2025-09-17T03:04:44Z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738531D483B5422DAD26687C9DD899E2_13</vt:lpwstr>
  </property>
  <property fmtid="{D5CDD505-2E9C-101B-9397-08002B2CF9AE}" pid="4" name="KSOTemplateDocerSaveRecord">
    <vt:lpwstr>eyJoZGlkIjoiMTFkZGY1ZGFhZWFmYjZhODAzZDJjY2FjNjEzNTAyMmQiLCJ1c2VySWQiOiIzNDgzNjUwMDcifQ==</vt:lpwstr>
  </property>
</Properties>
</file>