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91AA79">
      <w:pPr>
        <w:ind w:firstLine="720"/>
        <w:jc w:val="center"/>
        <w:rPr>
          <w:rFonts w:ascii="黑体" w:hAnsi="宋体" w:eastAsia="黑体"/>
          <w:color w:val="000000"/>
          <w:sz w:val="36"/>
          <w:szCs w:val="36"/>
        </w:rPr>
      </w:pPr>
    </w:p>
    <w:p w14:paraId="2E45BED9">
      <w:pPr>
        <w:spacing w:line="460" w:lineRule="exact"/>
        <w:ind w:firstLine="720"/>
        <w:jc w:val="center"/>
        <w:rPr>
          <w:rFonts w:ascii="仿宋_GB2312" w:hAnsi="宋体"/>
          <w:color w:val="000000"/>
          <w:sz w:val="36"/>
          <w:szCs w:val="36"/>
        </w:rPr>
      </w:pPr>
      <w:r>
        <w:rPr>
          <w:rFonts w:hint="eastAsia" w:ascii="黑体" w:hAnsi="宋体" w:eastAsia="黑体"/>
          <w:color w:val="000000"/>
          <w:sz w:val="36"/>
          <w:szCs w:val="36"/>
        </w:rPr>
        <w:t>常 年 法 律 顾 问 合 同</w:t>
      </w:r>
    </w:p>
    <w:p w14:paraId="44B74AF8">
      <w:pPr>
        <w:spacing w:line="460" w:lineRule="exact"/>
        <w:ind w:firstLine="6860" w:firstLineChars="2450"/>
        <w:rPr>
          <w:rFonts w:ascii="仿宋_GB2312" w:hAnsi="宋体"/>
          <w:color w:val="000000"/>
        </w:rPr>
      </w:pPr>
      <w:r>
        <w:rPr>
          <w:rFonts w:hint="eastAsia" w:ascii="仿宋_GB2312" w:hAnsi="宋体"/>
          <w:color w:val="000000"/>
        </w:rPr>
        <w:t>案号：</w:t>
      </w:r>
    </w:p>
    <w:p w14:paraId="46C3F884">
      <w:pPr>
        <w:spacing w:line="460" w:lineRule="exact"/>
        <w:ind w:firstLine="8960" w:firstLineChars="3200"/>
        <w:rPr>
          <w:rFonts w:ascii="仿宋_GB2312"/>
        </w:rPr>
      </w:pPr>
    </w:p>
    <w:p w14:paraId="6721B36C">
      <w:pPr>
        <w:adjustRightInd w:val="0"/>
        <w:snapToGrid w:val="0"/>
        <w:spacing w:line="360" w:lineRule="auto"/>
        <w:ind w:firstLine="560"/>
        <w:rPr>
          <w:rFonts w:ascii="仿宋" w:hAnsi="仿宋" w:eastAsia="仿宋"/>
          <w:bCs/>
          <w:szCs w:val="28"/>
          <w:u w:val="single"/>
        </w:rPr>
      </w:pPr>
      <w:r>
        <w:rPr>
          <w:rFonts w:hint="eastAsia" w:ascii="仿宋" w:hAnsi="仿宋" w:eastAsia="仿宋"/>
          <w:bCs/>
          <w:szCs w:val="28"/>
        </w:rPr>
        <w:t>委托人（甲方）：</w:t>
      </w:r>
      <w:r>
        <w:rPr>
          <w:rFonts w:hint="eastAsia" w:ascii="仿宋" w:hAnsi="仿宋" w:eastAsia="仿宋"/>
          <w:szCs w:val="28"/>
          <w:u w:val="single"/>
        </w:rPr>
        <w:t xml:space="preserve">  中高后勤服务（云南）有限公司  </w:t>
      </w:r>
      <w:r>
        <w:rPr>
          <w:rFonts w:hint="eastAsia" w:ascii="仿宋" w:hAnsi="仿宋" w:eastAsia="仿宋"/>
          <w:bCs/>
          <w:szCs w:val="28"/>
          <w:u w:val="single"/>
        </w:rPr>
        <w:t xml:space="preserve"> </w:t>
      </w:r>
    </w:p>
    <w:p w14:paraId="12ED1D6A">
      <w:pPr>
        <w:adjustRightInd w:val="0"/>
        <w:snapToGrid w:val="0"/>
        <w:spacing w:line="360" w:lineRule="auto"/>
        <w:ind w:firstLine="560"/>
        <w:rPr>
          <w:rFonts w:ascii="仿宋" w:hAnsi="仿宋" w:eastAsia="仿宋"/>
          <w:bCs/>
          <w:szCs w:val="28"/>
        </w:rPr>
      </w:pPr>
      <w:r>
        <w:rPr>
          <w:rFonts w:hint="eastAsia" w:ascii="仿宋" w:hAnsi="仿宋" w:eastAsia="仿宋"/>
          <w:bCs/>
          <w:szCs w:val="28"/>
        </w:rPr>
        <w:t>住址：</w:t>
      </w:r>
      <w:r>
        <w:rPr>
          <w:rFonts w:hint="eastAsia" w:ascii="仿宋" w:hAnsi="仿宋" w:eastAsia="仿宋"/>
          <w:szCs w:val="28"/>
          <w:u w:val="single"/>
        </w:rPr>
        <w:t xml:space="preserve">  中国（云南）自由贸易试验区昆明片区官渡区世纪城金源国际商务中心2幢6A号  </w:t>
      </w:r>
      <w:r>
        <w:rPr>
          <w:rFonts w:hint="eastAsia" w:ascii="仿宋" w:hAnsi="仿宋" w:eastAsia="仿宋"/>
          <w:bCs/>
          <w:szCs w:val="28"/>
        </w:rPr>
        <w:t xml:space="preserve"> </w:t>
      </w:r>
    </w:p>
    <w:p w14:paraId="58162810">
      <w:pPr>
        <w:adjustRightInd w:val="0"/>
        <w:snapToGrid w:val="0"/>
        <w:spacing w:line="360" w:lineRule="auto"/>
        <w:ind w:firstLine="560"/>
        <w:rPr>
          <w:rFonts w:ascii="仿宋" w:hAnsi="仿宋" w:eastAsia="仿宋"/>
          <w:szCs w:val="28"/>
        </w:rPr>
      </w:pPr>
      <w:r>
        <w:rPr>
          <w:rFonts w:hint="eastAsia" w:ascii="仿宋" w:hAnsi="仿宋" w:eastAsia="仿宋"/>
          <w:bCs/>
          <w:szCs w:val="28"/>
        </w:rPr>
        <w:t>电话：</w:t>
      </w:r>
      <w:r>
        <w:rPr>
          <w:rFonts w:hint="eastAsia" w:ascii="仿宋" w:hAnsi="仿宋" w:eastAsia="仿宋"/>
          <w:szCs w:val="28"/>
          <w:u w:val="single"/>
        </w:rPr>
        <w:t xml:space="preserve">  </w:t>
      </w:r>
      <w:r>
        <w:rPr>
          <w:rFonts w:ascii="仿宋" w:hAnsi="仿宋" w:eastAsia="仿宋"/>
          <w:szCs w:val="28"/>
          <w:u w:val="single"/>
        </w:rPr>
        <w:t>0871-65188308</w:t>
      </w:r>
      <w:r>
        <w:rPr>
          <w:rFonts w:hint="eastAsia" w:ascii="仿宋" w:hAnsi="仿宋" w:eastAsia="仿宋"/>
          <w:szCs w:val="28"/>
          <w:u w:val="single"/>
        </w:rPr>
        <w:t xml:space="preserve"> </w:t>
      </w:r>
    </w:p>
    <w:p w14:paraId="650BD2E4">
      <w:pPr>
        <w:adjustRightInd w:val="0"/>
        <w:snapToGrid w:val="0"/>
        <w:spacing w:line="360" w:lineRule="auto"/>
        <w:ind w:firstLine="560"/>
        <w:rPr>
          <w:rFonts w:ascii="仿宋" w:hAnsi="仿宋" w:eastAsia="仿宋"/>
          <w:bCs/>
          <w:szCs w:val="28"/>
          <w:u w:val="single"/>
        </w:rPr>
      </w:pPr>
      <w:r>
        <w:rPr>
          <w:rFonts w:hint="eastAsia" w:ascii="仿宋" w:hAnsi="仿宋" w:eastAsia="仿宋"/>
          <w:bCs/>
          <w:szCs w:val="28"/>
        </w:rPr>
        <w:t>电子信箱：</w:t>
      </w:r>
      <w:r>
        <w:rPr>
          <w:rFonts w:hint="eastAsia" w:ascii="仿宋" w:hAnsi="仿宋" w:eastAsia="仿宋"/>
          <w:bCs/>
          <w:szCs w:val="28"/>
          <w:u w:val="single"/>
        </w:rPr>
        <w:t xml:space="preserve">                                </w:t>
      </w:r>
    </w:p>
    <w:p w14:paraId="11A64FF2">
      <w:pPr>
        <w:adjustRightInd w:val="0"/>
        <w:snapToGrid w:val="0"/>
        <w:spacing w:line="360" w:lineRule="auto"/>
        <w:ind w:firstLine="560"/>
        <w:rPr>
          <w:rFonts w:ascii="仿宋" w:hAnsi="仿宋" w:eastAsia="仿宋"/>
          <w:bCs/>
          <w:szCs w:val="28"/>
          <w:u w:val="single"/>
        </w:rPr>
      </w:pPr>
    </w:p>
    <w:p w14:paraId="3455A598">
      <w:pPr>
        <w:adjustRightInd w:val="0"/>
        <w:snapToGrid w:val="0"/>
        <w:spacing w:line="360" w:lineRule="auto"/>
        <w:ind w:firstLine="560"/>
        <w:rPr>
          <w:rFonts w:ascii="仿宋" w:hAnsi="仿宋" w:eastAsia="仿宋"/>
          <w:bCs/>
          <w:szCs w:val="28"/>
        </w:rPr>
      </w:pPr>
      <w:r>
        <w:rPr>
          <w:rFonts w:hint="eastAsia" w:ascii="仿宋" w:hAnsi="仿宋" w:eastAsia="仿宋"/>
          <w:bCs/>
          <w:szCs w:val="28"/>
        </w:rPr>
        <w:t>受托方（乙方）：北京</w:t>
      </w:r>
      <w:r>
        <w:rPr>
          <w:rFonts w:hint="eastAsia" w:ascii="仿宋" w:hAnsi="仿宋" w:eastAsia="仿宋"/>
          <w:bCs/>
          <w:szCs w:val="28"/>
          <w:lang w:val="en-GB"/>
        </w:rPr>
        <w:t>大成（昆明）</w:t>
      </w:r>
      <w:r>
        <w:rPr>
          <w:rFonts w:hint="eastAsia" w:ascii="仿宋" w:hAnsi="仿宋" w:eastAsia="仿宋"/>
          <w:bCs/>
          <w:szCs w:val="28"/>
        </w:rPr>
        <w:t>律师事务所</w:t>
      </w:r>
    </w:p>
    <w:p w14:paraId="54BE9847">
      <w:pPr>
        <w:adjustRightInd w:val="0"/>
        <w:snapToGrid w:val="0"/>
        <w:spacing w:line="360" w:lineRule="auto"/>
        <w:ind w:firstLine="560"/>
        <w:rPr>
          <w:rFonts w:ascii="仿宋" w:hAnsi="仿宋" w:eastAsia="仿宋"/>
          <w:bCs/>
          <w:szCs w:val="28"/>
        </w:rPr>
      </w:pPr>
      <w:r>
        <w:rPr>
          <w:rFonts w:hint="eastAsia" w:ascii="仿宋" w:hAnsi="仿宋" w:eastAsia="仿宋"/>
          <w:bCs/>
          <w:szCs w:val="28"/>
        </w:rPr>
        <w:t>住所：</w:t>
      </w:r>
      <w:r>
        <w:rPr>
          <w:rFonts w:hint="eastAsia" w:ascii="仿宋" w:hAnsi="仿宋" w:eastAsia="仿宋"/>
          <w:szCs w:val="28"/>
        </w:rPr>
        <w:t>昆明市西山区前兴路688号昆明万达双塔北塔5楼</w:t>
      </w:r>
    </w:p>
    <w:p w14:paraId="2EE4B063">
      <w:pPr>
        <w:adjustRightInd w:val="0"/>
        <w:snapToGrid w:val="0"/>
        <w:spacing w:line="360" w:lineRule="auto"/>
        <w:ind w:firstLine="560"/>
        <w:rPr>
          <w:rFonts w:ascii="仿宋" w:hAnsi="仿宋" w:eastAsia="仿宋"/>
          <w:bCs/>
          <w:szCs w:val="28"/>
        </w:rPr>
      </w:pPr>
      <w:r>
        <w:rPr>
          <w:rFonts w:hint="eastAsia" w:ascii="仿宋" w:hAnsi="仿宋" w:eastAsia="仿宋"/>
          <w:bCs/>
          <w:szCs w:val="28"/>
        </w:rPr>
        <w:t>邮政编码：</w:t>
      </w:r>
      <w:r>
        <w:rPr>
          <w:rFonts w:hint="eastAsia" w:ascii="仿宋" w:hAnsi="仿宋" w:eastAsia="仿宋"/>
          <w:szCs w:val="28"/>
        </w:rPr>
        <w:t>650100</w:t>
      </w:r>
    </w:p>
    <w:p w14:paraId="164FA294">
      <w:pPr>
        <w:adjustRightInd w:val="0"/>
        <w:snapToGrid w:val="0"/>
        <w:spacing w:line="360" w:lineRule="auto"/>
        <w:ind w:firstLine="560"/>
        <w:rPr>
          <w:rFonts w:ascii="仿宋" w:hAnsi="仿宋" w:eastAsia="仿宋"/>
          <w:bCs/>
          <w:szCs w:val="28"/>
        </w:rPr>
      </w:pPr>
      <w:r>
        <w:rPr>
          <w:rFonts w:hint="eastAsia" w:ascii="仿宋" w:hAnsi="仿宋" w:eastAsia="仿宋"/>
          <w:bCs/>
          <w:szCs w:val="28"/>
        </w:rPr>
        <w:t>电话：8</w:t>
      </w:r>
      <w:r>
        <w:rPr>
          <w:rFonts w:ascii="仿宋" w:hAnsi="仿宋" w:eastAsia="仿宋"/>
          <w:bCs/>
          <w:szCs w:val="28"/>
        </w:rPr>
        <w:t>6</w:t>
      </w:r>
      <w:r>
        <w:rPr>
          <w:rFonts w:hint="eastAsia" w:ascii="仿宋" w:hAnsi="仿宋" w:eastAsia="仿宋"/>
          <w:bCs/>
          <w:szCs w:val="28"/>
        </w:rPr>
        <w:t>871-64326335      传真：</w:t>
      </w:r>
      <w:r>
        <w:rPr>
          <w:rFonts w:ascii="仿宋" w:hAnsi="仿宋" w:eastAsia="仿宋"/>
          <w:bCs/>
          <w:szCs w:val="28"/>
        </w:rPr>
        <w:t>868</w:t>
      </w:r>
      <w:r>
        <w:rPr>
          <w:rFonts w:hint="eastAsia" w:ascii="仿宋" w:hAnsi="仿宋" w:eastAsia="仿宋"/>
          <w:bCs/>
          <w:szCs w:val="28"/>
        </w:rPr>
        <w:t>71-64326003</w:t>
      </w:r>
    </w:p>
    <w:p w14:paraId="081CCEBA">
      <w:pPr>
        <w:adjustRightInd w:val="0"/>
        <w:snapToGrid w:val="0"/>
        <w:spacing w:line="360" w:lineRule="auto"/>
        <w:ind w:firstLine="560"/>
        <w:rPr>
          <w:rFonts w:ascii="仿宋" w:hAnsi="仿宋" w:eastAsia="仿宋"/>
          <w:szCs w:val="28"/>
        </w:rPr>
      </w:pPr>
      <w:r>
        <w:rPr>
          <w:rFonts w:hint="eastAsia" w:ascii="仿宋" w:hAnsi="仿宋" w:eastAsia="仿宋"/>
          <w:bCs/>
          <w:szCs w:val="28"/>
        </w:rPr>
        <w:t>电子信箱：</w:t>
      </w:r>
      <w:r>
        <w:rPr>
          <w:rFonts w:hint="eastAsia" w:ascii="仿宋" w:hAnsi="仿宋" w:eastAsia="仿宋"/>
          <w:bCs/>
          <w:szCs w:val="28"/>
          <w:u w:val="single"/>
        </w:rPr>
        <w:t xml:space="preserve">                            </w:t>
      </w:r>
      <w:r>
        <w:rPr>
          <w:rFonts w:ascii="仿宋" w:hAnsi="仿宋" w:eastAsia="仿宋"/>
          <w:bCs/>
          <w:szCs w:val="28"/>
          <w:u w:val="single"/>
        </w:rPr>
        <w:t xml:space="preserve">   </w:t>
      </w:r>
      <w:r>
        <w:rPr>
          <w:rFonts w:hint="eastAsia" w:ascii="仿宋" w:hAnsi="仿宋" w:eastAsia="仿宋"/>
          <w:bCs/>
          <w:szCs w:val="28"/>
          <w:u w:val="single"/>
        </w:rPr>
        <w:t xml:space="preserve">   </w:t>
      </w:r>
      <w:r>
        <w:rPr>
          <w:rFonts w:ascii="仿宋" w:hAnsi="仿宋" w:eastAsia="仿宋"/>
          <w:bCs/>
          <w:szCs w:val="28"/>
          <w:u w:val="single"/>
        </w:rPr>
        <w:t xml:space="preserve">  </w:t>
      </w:r>
      <w:r>
        <w:rPr>
          <w:rFonts w:hint="eastAsia" w:ascii="仿宋" w:hAnsi="仿宋" w:eastAsia="仿宋"/>
          <w:bCs/>
          <w:szCs w:val="28"/>
          <w:u w:val="single"/>
        </w:rPr>
        <w:t xml:space="preserve"> </w:t>
      </w:r>
      <w:r>
        <w:rPr>
          <w:rFonts w:hint="eastAsia" w:ascii="仿宋" w:hAnsi="仿宋" w:eastAsia="仿宋"/>
          <w:bCs/>
          <w:szCs w:val="28"/>
        </w:rPr>
        <w:t xml:space="preserve">   </w:t>
      </w:r>
    </w:p>
    <w:p w14:paraId="54336992">
      <w:pPr>
        <w:spacing w:line="360" w:lineRule="auto"/>
        <w:ind w:firstLine="560"/>
        <w:rPr>
          <w:rFonts w:ascii="仿宋" w:hAnsi="仿宋" w:eastAsia="仿宋"/>
          <w:color w:val="000000"/>
          <w:szCs w:val="28"/>
        </w:rPr>
      </w:pPr>
      <w:r>
        <w:rPr>
          <w:rFonts w:hint="eastAsia" w:ascii="仿宋" w:hAnsi="仿宋" w:eastAsia="仿宋"/>
          <w:color w:val="000000"/>
          <w:szCs w:val="28"/>
        </w:rPr>
        <w:t xml:space="preserve"> </w:t>
      </w:r>
      <w:r>
        <w:rPr>
          <w:rFonts w:ascii="仿宋" w:hAnsi="仿宋" w:eastAsia="仿宋"/>
          <w:color w:val="000000"/>
          <w:szCs w:val="28"/>
        </w:rPr>
        <w:t xml:space="preserve"> </w:t>
      </w:r>
    </w:p>
    <w:p w14:paraId="5365E220">
      <w:pPr>
        <w:spacing w:line="360" w:lineRule="auto"/>
        <w:ind w:firstLine="560"/>
        <w:rPr>
          <w:rFonts w:ascii="仿宋" w:hAnsi="仿宋" w:eastAsia="仿宋"/>
          <w:szCs w:val="28"/>
        </w:rPr>
      </w:pPr>
      <w:r>
        <w:rPr>
          <w:rFonts w:hint="eastAsia" w:ascii="仿宋" w:hAnsi="仿宋" w:eastAsia="仿宋"/>
          <w:szCs w:val="28"/>
        </w:rPr>
        <w:t>甲方因业务上的需要，聘请乙方的律师担任常年法律顾问。双方根据《中华人民共和国民法典》、《中华人民共和国律师法》及相关法律法规规定，本着自愿、平等、互惠互利、诚实信用的原则，经充分友好协商，订立如下合同条款，以资共同恪守履行：</w:t>
      </w:r>
    </w:p>
    <w:p w14:paraId="06A0C889">
      <w:pPr>
        <w:spacing w:line="360" w:lineRule="auto"/>
        <w:ind w:firstLine="560"/>
        <w:rPr>
          <w:rFonts w:ascii="仿宋" w:hAnsi="仿宋" w:eastAsia="仿宋"/>
          <w:szCs w:val="28"/>
        </w:rPr>
      </w:pPr>
      <w:r>
        <w:rPr>
          <w:rFonts w:hint="eastAsia" w:ascii="仿宋" w:hAnsi="仿宋" w:eastAsia="仿宋"/>
          <w:szCs w:val="28"/>
        </w:rPr>
        <w:t>1.  法律顾问服务人员</w:t>
      </w:r>
    </w:p>
    <w:p w14:paraId="6139DA41">
      <w:pPr>
        <w:spacing w:line="360" w:lineRule="auto"/>
        <w:ind w:firstLine="560"/>
        <w:rPr>
          <w:rFonts w:ascii="仿宋" w:hAnsi="仿宋" w:eastAsia="仿宋"/>
          <w:szCs w:val="28"/>
        </w:rPr>
      </w:pPr>
      <w:r>
        <w:rPr>
          <w:rFonts w:hint="eastAsia" w:ascii="仿宋" w:hAnsi="仿宋" w:eastAsia="仿宋"/>
          <w:szCs w:val="28"/>
        </w:rPr>
        <w:t>1.1 乙方接受甲方聘请，指派</w:t>
      </w:r>
      <w:r>
        <w:rPr>
          <w:rFonts w:hint="eastAsia" w:ascii="仿宋" w:hAnsi="仿宋" w:eastAsia="仿宋"/>
          <w:szCs w:val="28"/>
          <w:u w:val="single"/>
        </w:rPr>
        <w:t xml:space="preserve"> 孙可、何金丹阳、宋惠颖、徐东升、马睿翎</w:t>
      </w:r>
      <w:r>
        <w:rPr>
          <w:rFonts w:hint="eastAsia" w:ascii="仿宋" w:hAnsi="仿宋" w:eastAsia="仿宋"/>
          <w:szCs w:val="28"/>
        </w:rPr>
        <w:t>等律师组成顾问小组担任甲方的常年法律顾问。</w:t>
      </w:r>
    </w:p>
    <w:p w14:paraId="0376C915">
      <w:pPr>
        <w:spacing w:line="360" w:lineRule="auto"/>
        <w:ind w:firstLine="560"/>
        <w:rPr>
          <w:rFonts w:ascii="仿宋" w:hAnsi="仿宋" w:eastAsia="仿宋"/>
          <w:color w:val="000000"/>
          <w:szCs w:val="28"/>
        </w:rPr>
      </w:pPr>
      <w:r>
        <w:rPr>
          <w:rFonts w:hint="eastAsia" w:ascii="仿宋" w:hAnsi="仿宋" w:eastAsia="仿宋"/>
          <w:szCs w:val="28"/>
        </w:rPr>
        <w:t>1.2  甲方同意乙方及其所指派的律师在认为必要时可将部分法律服务工作交由</w:t>
      </w:r>
      <w:r>
        <w:rPr>
          <w:rFonts w:ascii="仿宋" w:hAnsi="仿宋" w:eastAsia="仿宋"/>
          <w:color w:val="000000"/>
          <w:szCs w:val="28"/>
        </w:rPr>
        <w:t>乙方的其他律师、律师助理、秘书处理与本案有关的一般性非法律事</w:t>
      </w:r>
      <w:r>
        <w:rPr>
          <w:rFonts w:hint="eastAsia" w:ascii="仿宋" w:hAnsi="仿宋" w:eastAsia="仿宋"/>
          <w:color w:val="000000"/>
          <w:szCs w:val="28"/>
        </w:rPr>
        <w:t>务</w:t>
      </w:r>
      <w:r>
        <w:rPr>
          <w:rFonts w:ascii="仿宋" w:hAnsi="仿宋" w:eastAsia="仿宋"/>
          <w:color w:val="000000"/>
          <w:szCs w:val="28"/>
        </w:rPr>
        <w:t>，包括但不限于：送达法律文书、调查、文件制作、文件复印、相关法律调研</w:t>
      </w:r>
      <w:r>
        <w:rPr>
          <w:rFonts w:hint="eastAsia" w:ascii="仿宋" w:hAnsi="仿宋" w:eastAsia="仿宋"/>
          <w:color w:val="000000"/>
          <w:szCs w:val="28"/>
        </w:rPr>
        <w:t>、科学技术问题</w:t>
      </w:r>
      <w:r>
        <w:rPr>
          <w:rFonts w:ascii="仿宋" w:hAnsi="仿宋" w:eastAsia="仿宋"/>
          <w:color w:val="000000"/>
          <w:szCs w:val="28"/>
        </w:rPr>
        <w:t>。</w:t>
      </w:r>
    </w:p>
    <w:p w14:paraId="7F0CD975">
      <w:pPr>
        <w:spacing w:line="360" w:lineRule="auto"/>
        <w:ind w:firstLine="560"/>
        <w:rPr>
          <w:rFonts w:ascii="仿宋" w:hAnsi="仿宋" w:eastAsia="仿宋"/>
          <w:szCs w:val="28"/>
        </w:rPr>
      </w:pPr>
      <w:r>
        <w:rPr>
          <w:rFonts w:hint="eastAsia" w:ascii="仿宋" w:hAnsi="仿宋" w:eastAsia="仿宋"/>
          <w:szCs w:val="28"/>
        </w:rPr>
        <w:t>1.3  根据甲方具体项目情况，乙方可委派具有专长的其他律师或者本所的顾问为甲方提供服务。</w:t>
      </w:r>
    </w:p>
    <w:p w14:paraId="2AFF4B80">
      <w:pPr>
        <w:spacing w:line="360" w:lineRule="auto"/>
        <w:ind w:firstLine="560"/>
        <w:rPr>
          <w:rFonts w:ascii="仿宋" w:hAnsi="仿宋" w:eastAsia="仿宋"/>
          <w:szCs w:val="28"/>
        </w:rPr>
      </w:pPr>
      <w:r>
        <w:rPr>
          <w:rFonts w:hint="eastAsia" w:ascii="仿宋" w:hAnsi="仿宋" w:eastAsia="仿宋"/>
          <w:szCs w:val="28"/>
        </w:rPr>
        <w:t>1.4  本合同履行过程中，若律师因合理原因(包括但不限于正常调动、离职、时间冲突、回避、身体状况等)无法继续或暂时不能提供服务时，律师应及时告知甲方并由合同双方协商另行指派其他合适的律师接替。</w:t>
      </w:r>
    </w:p>
    <w:p w14:paraId="1F0039DB">
      <w:pPr>
        <w:spacing w:line="360" w:lineRule="auto"/>
        <w:ind w:firstLine="560"/>
        <w:rPr>
          <w:rFonts w:ascii="仿宋" w:hAnsi="仿宋" w:eastAsia="仿宋"/>
          <w:szCs w:val="28"/>
        </w:rPr>
      </w:pPr>
      <w:r>
        <w:rPr>
          <w:rFonts w:hint="eastAsia" w:ascii="仿宋" w:hAnsi="仿宋" w:eastAsia="仿宋"/>
          <w:szCs w:val="28"/>
        </w:rPr>
        <w:t>2.  乙方律师担任常年法律顾问的主要工作内容</w:t>
      </w:r>
    </w:p>
    <w:p w14:paraId="66B83D8E">
      <w:pPr>
        <w:spacing w:line="360" w:lineRule="auto"/>
        <w:ind w:firstLine="560"/>
        <w:rPr>
          <w:rFonts w:ascii="仿宋" w:hAnsi="仿宋" w:eastAsia="仿宋"/>
          <w:szCs w:val="28"/>
        </w:rPr>
      </w:pPr>
      <w:r>
        <w:rPr>
          <w:rFonts w:hint="eastAsia" w:ascii="仿宋" w:hAnsi="仿宋" w:eastAsia="仿宋"/>
          <w:szCs w:val="28"/>
        </w:rPr>
        <w:t>2.1 提供日常法律服务</w:t>
      </w:r>
    </w:p>
    <w:p w14:paraId="451E56DD">
      <w:pPr>
        <w:spacing w:line="360" w:lineRule="auto"/>
        <w:ind w:firstLine="560"/>
        <w:rPr>
          <w:rFonts w:ascii="仿宋" w:hAnsi="仿宋" w:eastAsia="仿宋"/>
          <w:szCs w:val="28"/>
        </w:rPr>
      </w:pPr>
      <w:r>
        <w:rPr>
          <w:rFonts w:hint="eastAsia" w:ascii="仿宋" w:hAnsi="仿宋" w:eastAsia="仿宋"/>
          <w:szCs w:val="28"/>
        </w:rPr>
        <w:t xml:space="preserve">2.1.1 </w:t>
      </w:r>
      <w:r>
        <w:rPr>
          <w:rFonts w:hint="eastAsia" w:ascii="仿宋" w:hAnsi="仿宋" w:eastAsia="仿宋"/>
          <w:b/>
          <w:szCs w:val="28"/>
        </w:rPr>
        <w:t>法律咨询</w:t>
      </w:r>
      <w:r>
        <w:rPr>
          <w:rFonts w:hint="eastAsia" w:ascii="仿宋" w:hAnsi="仿宋" w:eastAsia="仿宋"/>
          <w:szCs w:val="28"/>
        </w:rPr>
        <w:t xml:space="preserve"> 对甲方经营管理过程中涉及到的各类法律问题提供咨询，不需要书面回复的，咨询及时处理，工作日最迟不超过12小时给予回复</w:t>
      </w:r>
      <w:r>
        <w:rPr>
          <w:rFonts w:hint="eastAsia" w:ascii="仿宋" w:hAnsi="仿宋" w:eastAsia="仿宋"/>
          <w:color w:val="C00000"/>
          <w:szCs w:val="28"/>
        </w:rPr>
        <w:t>（特别紧急事宜需要乙方在规定时间内给予回复）</w:t>
      </w:r>
      <w:r>
        <w:rPr>
          <w:rFonts w:hint="eastAsia" w:ascii="仿宋" w:hAnsi="仿宋" w:eastAsia="仿宋"/>
          <w:szCs w:val="28"/>
        </w:rPr>
        <w:t>。需要提供书面法律意见的，原则上工作日48小时内回复，情况紧急的24小时内回复，案件情况负责、材料缺失的，回复时间在服务过程中双方具体沟通确定。</w:t>
      </w:r>
    </w:p>
    <w:p w14:paraId="37F733CD">
      <w:pPr>
        <w:spacing w:line="360" w:lineRule="auto"/>
        <w:ind w:firstLine="560"/>
        <w:rPr>
          <w:rFonts w:ascii="仿宋" w:hAnsi="仿宋" w:eastAsia="仿宋"/>
          <w:szCs w:val="28"/>
        </w:rPr>
      </w:pPr>
      <w:r>
        <w:rPr>
          <w:rFonts w:hint="eastAsia" w:ascii="仿宋" w:hAnsi="仿宋" w:eastAsia="仿宋"/>
          <w:szCs w:val="28"/>
        </w:rPr>
        <w:t xml:space="preserve">2.1.2 </w:t>
      </w:r>
      <w:r>
        <w:rPr>
          <w:rFonts w:hint="eastAsia" w:ascii="仿宋" w:hAnsi="仿宋" w:eastAsia="仿宋"/>
          <w:b/>
          <w:szCs w:val="28"/>
        </w:rPr>
        <w:t xml:space="preserve">法律文书管理 </w:t>
      </w:r>
      <w:r>
        <w:rPr>
          <w:rFonts w:hint="eastAsia" w:ascii="仿宋" w:hAnsi="仿宋" w:eastAsia="仿宋"/>
          <w:szCs w:val="28"/>
        </w:rPr>
        <w:t>对甲方草拟的法律文书进行审查、修改，对甲方收到的法律文书进行分析并提供相应的法律意见。</w:t>
      </w:r>
    </w:p>
    <w:p w14:paraId="218B1F4F">
      <w:pPr>
        <w:spacing w:line="360" w:lineRule="auto"/>
        <w:ind w:firstLine="560"/>
        <w:rPr>
          <w:rFonts w:ascii="仿宋" w:hAnsi="仿宋" w:eastAsia="仿宋"/>
          <w:szCs w:val="28"/>
        </w:rPr>
      </w:pPr>
      <w:r>
        <w:rPr>
          <w:rFonts w:hint="eastAsia" w:ascii="仿宋" w:hAnsi="仿宋" w:eastAsia="仿宋"/>
          <w:szCs w:val="28"/>
        </w:rPr>
        <w:t xml:space="preserve">2.1.3 </w:t>
      </w:r>
      <w:r>
        <w:rPr>
          <w:rFonts w:hint="eastAsia" w:ascii="仿宋" w:hAnsi="仿宋" w:eastAsia="仿宋"/>
          <w:b/>
          <w:szCs w:val="28"/>
        </w:rPr>
        <w:t>合同管理</w:t>
      </w:r>
      <w:r>
        <w:rPr>
          <w:rFonts w:hint="eastAsia" w:ascii="仿宋" w:hAnsi="仿宋" w:eastAsia="仿宋"/>
          <w:szCs w:val="28"/>
        </w:rPr>
        <w:t xml:space="preserve"> 为甲方草拟和修改合同，对合同的履行、变更或解除提供法律意见，指导甲方合同管理部门建立合同管理档案。</w:t>
      </w:r>
    </w:p>
    <w:p w14:paraId="713CD963">
      <w:pPr>
        <w:spacing w:line="360" w:lineRule="auto"/>
        <w:ind w:firstLine="560"/>
        <w:rPr>
          <w:rFonts w:ascii="仿宋" w:hAnsi="仿宋" w:eastAsia="仿宋"/>
          <w:szCs w:val="28"/>
        </w:rPr>
      </w:pPr>
      <w:r>
        <w:rPr>
          <w:rFonts w:hint="eastAsia" w:ascii="仿宋" w:hAnsi="仿宋" w:eastAsia="仿宋"/>
          <w:szCs w:val="28"/>
        </w:rPr>
        <w:t xml:space="preserve">2.1.4 </w:t>
      </w:r>
      <w:r>
        <w:rPr>
          <w:rFonts w:hint="eastAsia" w:ascii="仿宋" w:hAnsi="仿宋" w:eastAsia="仿宋"/>
          <w:b/>
          <w:szCs w:val="28"/>
        </w:rPr>
        <w:t>尚未形成诉讼纠纷案件管理</w:t>
      </w:r>
      <w:r>
        <w:rPr>
          <w:rFonts w:hint="eastAsia" w:ascii="仿宋" w:hAnsi="仿宋" w:eastAsia="仿宋"/>
          <w:szCs w:val="28"/>
        </w:rPr>
        <w:t xml:space="preserve"> 参与尚未形成诉讼的经济、民事、行政纠纷的谈判、调解，提供工作思路，提供法律解决方案，对纠纷可能导致的后果进行预测。</w:t>
      </w:r>
    </w:p>
    <w:p w14:paraId="466C93F0">
      <w:pPr>
        <w:spacing w:line="360" w:lineRule="auto"/>
        <w:ind w:firstLine="560"/>
        <w:rPr>
          <w:rFonts w:ascii="仿宋" w:hAnsi="仿宋" w:eastAsia="仿宋"/>
          <w:szCs w:val="28"/>
        </w:rPr>
      </w:pPr>
      <w:r>
        <w:rPr>
          <w:rFonts w:hint="eastAsia" w:ascii="仿宋" w:hAnsi="仿宋" w:eastAsia="仿宋"/>
          <w:szCs w:val="28"/>
        </w:rPr>
        <w:t xml:space="preserve">2.1.5 </w:t>
      </w:r>
      <w:r>
        <w:rPr>
          <w:rFonts w:hint="eastAsia" w:ascii="仿宋" w:hAnsi="仿宋" w:eastAsia="仿宋"/>
          <w:b/>
          <w:szCs w:val="28"/>
        </w:rPr>
        <w:t>债权债务管理服务</w:t>
      </w:r>
      <w:r>
        <w:rPr>
          <w:rFonts w:hint="eastAsia" w:ascii="仿宋" w:hAnsi="仿宋" w:eastAsia="仿宋"/>
          <w:szCs w:val="28"/>
        </w:rPr>
        <w:t xml:space="preserve"> 指导甲方有关部门清理甲方现有债权债务，及时对单项债权债务的解决提供工作思路。</w:t>
      </w:r>
    </w:p>
    <w:p w14:paraId="5E595666">
      <w:pPr>
        <w:spacing w:line="360" w:lineRule="auto"/>
        <w:ind w:firstLine="560"/>
        <w:rPr>
          <w:rFonts w:ascii="仿宋" w:hAnsi="仿宋" w:eastAsia="仿宋"/>
          <w:szCs w:val="28"/>
        </w:rPr>
      </w:pPr>
      <w:r>
        <w:rPr>
          <w:rFonts w:hint="eastAsia" w:ascii="仿宋" w:hAnsi="仿宋" w:eastAsia="仿宋"/>
          <w:szCs w:val="28"/>
        </w:rPr>
        <w:t xml:space="preserve">2.1.6 </w:t>
      </w:r>
      <w:r>
        <w:rPr>
          <w:rFonts w:hint="eastAsia" w:ascii="仿宋" w:hAnsi="仿宋" w:eastAsia="仿宋"/>
          <w:b/>
          <w:szCs w:val="28"/>
        </w:rPr>
        <w:t>法律可行性咨询</w:t>
      </w:r>
      <w:r>
        <w:rPr>
          <w:rFonts w:hint="eastAsia" w:ascii="仿宋" w:hAnsi="仿宋" w:eastAsia="仿宋"/>
          <w:szCs w:val="28"/>
        </w:rPr>
        <w:t xml:space="preserve"> 对甲方经营管理中的决策事项进行可行性法律分析，不需要书面回复的，咨询及时处理，工作日最迟不超过12小时给予回复。需要提供书面法律意见的，原则上工作日48小时内回复，情况紧急的24小时内回复，咨询的事项复杂的，回复时间在服务过程中双方具体沟通确定。</w:t>
      </w:r>
    </w:p>
    <w:p w14:paraId="2454767A">
      <w:pPr>
        <w:spacing w:line="360" w:lineRule="auto"/>
        <w:ind w:firstLine="560"/>
        <w:rPr>
          <w:rFonts w:ascii="仿宋" w:hAnsi="仿宋" w:eastAsia="仿宋"/>
          <w:szCs w:val="28"/>
        </w:rPr>
      </w:pPr>
      <w:r>
        <w:rPr>
          <w:rFonts w:hint="eastAsia" w:ascii="仿宋" w:hAnsi="仿宋" w:eastAsia="仿宋"/>
          <w:szCs w:val="28"/>
        </w:rPr>
        <w:t xml:space="preserve">2.1.7 </w:t>
      </w:r>
      <w:r>
        <w:rPr>
          <w:rFonts w:hint="eastAsia" w:ascii="仿宋" w:hAnsi="仿宋" w:eastAsia="仿宋"/>
          <w:b/>
          <w:szCs w:val="28"/>
        </w:rPr>
        <w:t>会议现场咨询</w:t>
      </w:r>
      <w:r>
        <w:rPr>
          <w:rFonts w:hint="eastAsia" w:ascii="仿宋" w:hAnsi="仿宋" w:eastAsia="仿宋"/>
          <w:szCs w:val="28"/>
        </w:rPr>
        <w:t xml:space="preserve"> 根据甲方的需要，列席重大会议，现场提供法律咨询。</w:t>
      </w:r>
    </w:p>
    <w:p w14:paraId="7AAFD22F">
      <w:pPr>
        <w:spacing w:line="360" w:lineRule="auto"/>
        <w:ind w:firstLine="560"/>
        <w:rPr>
          <w:rFonts w:ascii="仿宋" w:hAnsi="仿宋" w:eastAsia="仿宋"/>
          <w:szCs w:val="28"/>
          <w:highlight w:val="yellow"/>
        </w:rPr>
      </w:pPr>
      <w:r>
        <w:rPr>
          <w:rFonts w:hint="eastAsia" w:ascii="仿宋" w:hAnsi="仿宋" w:eastAsia="仿宋"/>
          <w:szCs w:val="28"/>
        </w:rPr>
        <w:t xml:space="preserve">2.1.8 </w:t>
      </w:r>
      <w:r>
        <w:rPr>
          <w:rFonts w:hint="eastAsia" w:ascii="仿宋" w:hAnsi="仿宋" w:eastAsia="仿宋"/>
          <w:b/>
          <w:szCs w:val="28"/>
        </w:rPr>
        <w:t>内部法律培训</w:t>
      </w:r>
      <w:r>
        <w:rPr>
          <w:rFonts w:hint="eastAsia" w:ascii="仿宋" w:hAnsi="仿宋" w:eastAsia="仿宋"/>
          <w:szCs w:val="28"/>
        </w:rPr>
        <w:t xml:space="preserve"> 根据甲方的需要，对员工进行法律培训。</w:t>
      </w:r>
    </w:p>
    <w:p w14:paraId="461F4278">
      <w:pPr>
        <w:spacing w:line="360" w:lineRule="auto"/>
        <w:ind w:firstLine="560"/>
        <w:rPr>
          <w:rFonts w:ascii="仿宋" w:hAnsi="仿宋" w:eastAsia="仿宋"/>
          <w:szCs w:val="28"/>
        </w:rPr>
      </w:pPr>
      <w:r>
        <w:rPr>
          <w:rFonts w:hint="eastAsia" w:ascii="仿宋" w:hAnsi="仿宋" w:eastAsia="仿宋"/>
          <w:szCs w:val="28"/>
        </w:rPr>
        <w:t xml:space="preserve">2.1.9 </w:t>
      </w:r>
      <w:r>
        <w:rPr>
          <w:rFonts w:hint="eastAsia" w:ascii="仿宋" w:hAnsi="仿宋" w:eastAsia="仿宋"/>
          <w:b/>
          <w:szCs w:val="28"/>
        </w:rPr>
        <w:t>新颁布法律培训</w:t>
      </w:r>
      <w:r>
        <w:rPr>
          <w:rFonts w:hint="eastAsia" w:ascii="仿宋" w:hAnsi="仿宋" w:eastAsia="仿宋"/>
          <w:szCs w:val="28"/>
        </w:rPr>
        <w:t xml:space="preserve"> 不定期向甲方介绍国家和地方新颁布的法律法规。</w:t>
      </w:r>
    </w:p>
    <w:p w14:paraId="791B0D0B">
      <w:pPr>
        <w:spacing w:line="360" w:lineRule="auto"/>
        <w:ind w:firstLine="560"/>
        <w:rPr>
          <w:rFonts w:ascii="仿宋" w:hAnsi="仿宋" w:eastAsia="仿宋"/>
          <w:szCs w:val="28"/>
        </w:rPr>
      </w:pPr>
      <w:r>
        <w:rPr>
          <w:rFonts w:hint="eastAsia" w:ascii="仿宋" w:hAnsi="仿宋" w:eastAsia="仿宋"/>
          <w:szCs w:val="28"/>
        </w:rPr>
        <w:t>2.2.10</w:t>
      </w:r>
      <w:r>
        <w:rPr>
          <w:rFonts w:hint="eastAsia" w:ascii="仿宋" w:hAnsi="仿宋" w:eastAsia="仿宋"/>
          <w:b/>
          <w:szCs w:val="28"/>
        </w:rPr>
        <w:t xml:space="preserve">法律法规收集 </w:t>
      </w:r>
      <w:r>
        <w:rPr>
          <w:rFonts w:hint="eastAsia" w:ascii="仿宋" w:hAnsi="仿宋" w:eastAsia="仿宋"/>
          <w:szCs w:val="28"/>
        </w:rPr>
        <w:t>根据甲方提出的法律法规条例收集需求，乙方需要在约定时限完成收集，成果交付时间双方在服务过程中具体沟通确定。</w:t>
      </w:r>
    </w:p>
    <w:p w14:paraId="3845D6ED">
      <w:pPr>
        <w:spacing w:line="360" w:lineRule="auto"/>
        <w:ind w:firstLine="560"/>
        <w:rPr>
          <w:rFonts w:ascii="仿宋" w:hAnsi="仿宋" w:eastAsia="仿宋"/>
          <w:szCs w:val="28"/>
        </w:rPr>
      </w:pPr>
      <w:r>
        <w:rPr>
          <w:rFonts w:hint="eastAsia" w:ascii="仿宋" w:hAnsi="仿宋" w:eastAsia="仿宋"/>
          <w:szCs w:val="28"/>
        </w:rPr>
        <w:t>2.2  提供全过程非诉讼法律服务（费用详见第5条）</w:t>
      </w:r>
    </w:p>
    <w:p w14:paraId="6A531A10">
      <w:pPr>
        <w:spacing w:line="360" w:lineRule="auto"/>
        <w:ind w:firstLine="560"/>
        <w:rPr>
          <w:rFonts w:ascii="仿宋" w:hAnsi="仿宋" w:eastAsia="仿宋"/>
          <w:szCs w:val="28"/>
        </w:rPr>
      </w:pPr>
      <w:r>
        <w:rPr>
          <w:rFonts w:hint="eastAsia" w:ascii="仿宋" w:hAnsi="仿宋" w:eastAsia="仿宋"/>
          <w:szCs w:val="28"/>
        </w:rPr>
        <w:t>2.2.1 为甲方的设立、上市、股权转让、增资减资、招标投标、合并分立、清算注销、资产重组、债务重组、破产、解散、产权界定、产权交易、投资、产权纠纷、改制上市等提供法律服务。</w:t>
      </w:r>
    </w:p>
    <w:p w14:paraId="111BBB18">
      <w:pPr>
        <w:spacing w:line="360" w:lineRule="auto"/>
        <w:ind w:firstLine="560"/>
        <w:rPr>
          <w:rFonts w:ascii="仿宋" w:hAnsi="仿宋" w:eastAsia="仿宋"/>
          <w:szCs w:val="28"/>
        </w:rPr>
      </w:pPr>
      <w:r>
        <w:rPr>
          <w:rFonts w:hint="eastAsia" w:ascii="仿宋" w:hAnsi="仿宋" w:eastAsia="仿宋"/>
          <w:szCs w:val="28"/>
        </w:rPr>
        <w:t>2.2.2 为甲方办理工商、税务、技术监督、海关、房屋土地、商标、专利、著作权等登记、注册、转让、报批、知识产权保护等提供法律服务。</w:t>
      </w:r>
    </w:p>
    <w:p w14:paraId="6FE5550B">
      <w:pPr>
        <w:spacing w:line="360" w:lineRule="auto"/>
        <w:ind w:firstLine="560"/>
        <w:rPr>
          <w:rFonts w:ascii="仿宋" w:hAnsi="仿宋" w:eastAsia="仿宋"/>
          <w:szCs w:val="28"/>
        </w:rPr>
      </w:pPr>
      <w:r>
        <w:rPr>
          <w:rFonts w:hint="eastAsia" w:ascii="仿宋" w:hAnsi="仿宋" w:eastAsia="仿宋"/>
          <w:szCs w:val="28"/>
        </w:rPr>
        <w:t>2.2.3 为甲方办理信贷、抵押贷款、商业贷款、专案融资、融资租赁及其他筹资事宜的法律事务。</w:t>
      </w:r>
    </w:p>
    <w:p w14:paraId="4BFC7238">
      <w:pPr>
        <w:spacing w:line="360" w:lineRule="auto"/>
        <w:ind w:firstLine="560"/>
        <w:rPr>
          <w:rFonts w:ascii="仿宋" w:hAnsi="仿宋" w:eastAsia="仿宋"/>
          <w:szCs w:val="28"/>
        </w:rPr>
      </w:pPr>
      <w:r>
        <w:rPr>
          <w:rFonts w:hint="eastAsia" w:ascii="仿宋" w:hAnsi="仿宋" w:eastAsia="仿宋"/>
          <w:szCs w:val="28"/>
        </w:rPr>
        <w:t>2.2.4 为甲方办理房地产开发、土地征用、拆迁补偿、土地使用权出让转让、楼宇买卖、楼宇按揭、租赁抵押、产权登记过户等房地产法律业务。</w:t>
      </w:r>
    </w:p>
    <w:p w14:paraId="2EB6A57D">
      <w:pPr>
        <w:spacing w:line="360" w:lineRule="auto"/>
        <w:ind w:firstLine="560"/>
        <w:rPr>
          <w:rFonts w:ascii="仿宋" w:hAnsi="仿宋" w:eastAsia="仿宋"/>
          <w:szCs w:val="28"/>
        </w:rPr>
      </w:pPr>
      <w:r>
        <w:rPr>
          <w:rFonts w:hint="eastAsia" w:ascii="仿宋" w:hAnsi="仿宋" w:eastAsia="仿宋"/>
          <w:szCs w:val="28"/>
        </w:rPr>
        <w:t>2.2.5 为甲方办理进出口贸易、保险信托、海商海事、海外投资、国际运输、技术转让中涉及到的法律事务。</w:t>
      </w:r>
    </w:p>
    <w:p w14:paraId="2FF76967">
      <w:pPr>
        <w:spacing w:line="360" w:lineRule="auto"/>
        <w:ind w:firstLine="560"/>
        <w:rPr>
          <w:rFonts w:ascii="仿宋" w:hAnsi="仿宋" w:eastAsia="仿宋"/>
          <w:szCs w:val="28"/>
        </w:rPr>
      </w:pPr>
      <w:r>
        <w:rPr>
          <w:rFonts w:hint="eastAsia" w:ascii="仿宋" w:hAnsi="仿宋" w:eastAsia="仿宋"/>
          <w:szCs w:val="28"/>
        </w:rPr>
        <w:t>2.2.6 在办理上述非诉讼法律事务过程中形成专项事务的，就专项事务提供全过程、全面、深入的服务，内容包括但不限于：尽职调查；收集整理法律规定，评估国家有关法律规定对项目的影响；审查对方资质；提供谈判工作思路；分析谈判资料，参与谈判；起草、修改、审核法律文书；与相关部门接洽，向相关部门递送文件资料；以甲方律师的名义对外签发律师函;对甲方法律文件进行见证、出具见证文件;出具法律意见书等。</w:t>
      </w:r>
    </w:p>
    <w:p w14:paraId="419368B6">
      <w:pPr>
        <w:spacing w:line="360" w:lineRule="auto"/>
        <w:ind w:firstLine="560"/>
        <w:rPr>
          <w:rFonts w:ascii="仿宋" w:hAnsi="仿宋" w:eastAsia="仿宋"/>
          <w:szCs w:val="28"/>
        </w:rPr>
      </w:pPr>
      <w:r>
        <w:rPr>
          <w:rFonts w:hint="eastAsia" w:ascii="仿宋" w:hAnsi="仿宋" w:eastAsia="仿宋"/>
          <w:szCs w:val="28"/>
        </w:rPr>
        <w:t>2.2.7 帮助甲方建立企业法律风险管理体系，具体包括：合同管理制度、营销管理制度、知识产权保护战略、人力资源管理制度、重大投资风险防范机制、法律风险救济机制、员工法律培训制度等。甲方可以根据实际需要对上述项目有选择地分步骤开展。</w:t>
      </w:r>
    </w:p>
    <w:p w14:paraId="4F24F538">
      <w:pPr>
        <w:spacing w:line="360" w:lineRule="auto"/>
        <w:ind w:firstLine="560"/>
        <w:rPr>
          <w:rFonts w:ascii="仿宋" w:hAnsi="仿宋" w:eastAsia="仿宋"/>
          <w:szCs w:val="28"/>
        </w:rPr>
      </w:pPr>
      <w:r>
        <w:rPr>
          <w:rFonts w:hint="eastAsia" w:ascii="仿宋" w:hAnsi="仿宋" w:eastAsia="仿宋"/>
          <w:szCs w:val="28"/>
        </w:rPr>
        <w:t>2.2.8 办理甲方委托的其他非诉讼法律事务。</w:t>
      </w:r>
    </w:p>
    <w:p w14:paraId="57E03CC9">
      <w:pPr>
        <w:spacing w:line="360" w:lineRule="auto"/>
        <w:ind w:firstLine="560"/>
        <w:rPr>
          <w:rFonts w:ascii="仿宋" w:hAnsi="仿宋" w:eastAsia="仿宋"/>
          <w:szCs w:val="28"/>
        </w:rPr>
      </w:pPr>
      <w:r>
        <w:rPr>
          <w:rFonts w:hint="eastAsia" w:ascii="仿宋" w:hAnsi="仿宋" w:eastAsia="仿宋"/>
          <w:szCs w:val="28"/>
        </w:rPr>
        <w:t>2.3 提供诉讼法律服务（费用详见第5条）</w:t>
      </w:r>
    </w:p>
    <w:p w14:paraId="5088C3E2">
      <w:pPr>
        <w:spacing w:line="360" w:lineRule="auto"/>
        <w:ind w:firstLine="560"/>
        <w:rPr>
          <w:rFonts w:ascii="仿宋" w:hAnsi="仿宋" w:eastAsia="仿宋"/>
          <w:szCs w:val="28"/>
        </w:rPr>
      </w:pPr>
      <w:r>
        <w:rPr>
          <w:rFonts w:hint="eastAsia" w:ascii="仿宋" w:hAnsi="仿宋" w:eastAsia="仿宋"/>
          <w:szCs w:val="28"/>
        </w:rPr>
        <w:t>2.3.1 接受甲方委托，代理民事、经济纠纷的调解、和解。</w:t>
      </w:r>
    </w:p>
    <w:p w14:paraId="29CF9F47">
      <w:pPr>
        <w:spacing w:line="360" w:lineRule="auto"/>
        <w:ind w:firstLine="560"/>
        <w:rPr>
          <w:rFonts w:ascii="仿宋" w:hAnsi="仿宋" w:eastAsia="仿宋"/>
          <w:szCs w:val="28"/>
        </w:rPr>
      </w:pPr>
      <w:r>
        <w:rPr>
          <w:rFonts w:hint="eastAsia" w:ascii="仿宋" w:hAnsi="仿宋" w:eastAsia="仿宋"/>
          <w:szCs w:val="28"/>
        </w:rPr>
        <w:t>2.3.2 接受甲方委托，代理民事、刑事、经济和行政案件的诉讼。</w:t>
      </w:r>
    </w:p>
    <w:p w14:paraId="1D1E2908">
      <w:pPr>
        <w:spacing w:line="360" w:lineRule="auto"/>
        <w:ind w:firstLine="560"/>
        <w:rPr>
          <w:rFonts w:ascii="仿宋" w:hAnsi="仿宋" w:eastAsia="仿宋"/>
          <w:szCs w:val="28"/>
        </w:rPr>
      </w:pPr>
      <w:r>
        <w:rPr>
          <w:rFonts w:hint="eastAsia" w:ascii="仿宋" w:hAnsi="仿宋" w:eastAsia="仿宋"/>
          <w:szCs w:val="28"/>
        </w:rPr>
        <w:t>2.3.3 接受甲方委托，代理经济、劳动和涉外案件的仲裁。</w:t>
      </w:r>
    </w:p>
    <w:p w14:paraId="2918E143">
      <w:pPr>
        <w:spacing w:line="360" w:lineRule="auto"/>
        <w:ind w:firstLine="560"/>
        <w:rPr>
          <w:rFonts w:ascii="仿宋" w:hAnsi="仿宋" w:eastAsia="仿宋"/>
          <w:szCs w:val="28"/>
        </w:rPr>
      </w:pPr>
      <w:r>
        <w:rPr>
          <w:rFonts w:hint="eastAsia" w:ascii="仿宋" w:hAnsi="仿宋" w:eastAsia="仿宋"/>
          <w:szCs w:val="28"/>
        </w:rPr>
        <w:t>3. 工作方式</w:t>
      </w:r>
    </w:p>
    <w:p w14:paraId="58E25EE4">
      <w:pPr>
        <w:spacing w:line="360" w:lineRule="auto"/>
        <w:ind w:firstLine="560"/>
        <w:rPr>
          <w:rFonts w:ascii="仿宋" w:hAnsi="仿宋" w:eastAsia="仿宋"/>
          <w:szCs w:val="28"/>
        </w:rPr>
      </w:pPr>
      <w:r>
        <w:rPr>
          <w:rFonts w:hint="eastAsia" w:ascii="仿宋" w:hAnsi="仿宋" w:eastAsia="仿宋"/>
          <w:szCs w:val="28"/>
        </w:rPr>
        <w:t>乙方律师的工作方式，主要通过电话、微信、书面解答咨询，或者前往甲方办公地点现场办公。</w:t>
      </w:r>
    </w:p>
    <w:p w14:paraId="7F5F3FB8">
      <w:pPr>
        <w:spacing w:line="360" w:lineRule="auto"/>
        <w:ind w:firstLine="560"/>
        <w:rPr>
          <w:rFonts w:ascii="仿宋" w:hAnsi="仿宋" w:eastAsia="仿宋"/>
          <w:szCs w:val="28"/>
        </w:rPr>
      </w:pPr>
      <w:bookmarkStart w:id="0" w:name="#370748"/>
      <w:bookmarkEnd w:id="0"/>
      <w:bookmarkStart w:id="1" w:name="#370717"/>
      <w:bookmarkEnd w:id="1"/>
      <w:bookmarkStart w:id="2" w:name="#370728"/>
      <w:bookmarkEnd w:id="2"/>
      <w:r>
        <w:rPr>
          <w:rFonts w:hint="eastAsia" w:ascii="仿宋" w:hAnsi="仿宋" w:eastAsia="仿宋"/>
          <w:szCs w:val="28"/>
        </w:rPr>
        <w:t>4.  法律顾问费及支付时间</w:t>
      </w:r>
    </w:p>
    <w:p w14:paraId="63BC4030">
      <w:pPr>
        <w:spacing w:line="360" w:lineRule="auto"/>
        <w:ind w:firstLine="560"/>
        <w:rPr>
          <w:rFonts w:ascii="仿宋" w:hAnsi="仿宋" w:eastAsia="仿宋"/>
          <w:szCs w:val="28"/>
        </w:rPr>
      </w:pPr>
      <w:r>
        <w:rPr>
          <w:rFonts w:hint="eastAsia" w:ascii="仿宋" w:hAnsi="仿宋" w:eastAsia="仿宋"/>
          <w:szCs w:val="28"/>
        </w:rPr>
        <w:t>4.1 甲方每年向乙方支付法律顾问费</w:t>
      </w:r>
      <w:r>
        <w:rPr>
          <w:rFonts w:hint="eastAsia" w:ascii="仿宋" w:hAnsi="仿宋" w:eastAsia="仿宋"/>
          <w:szCs w:val="28"/>
          <w:u w:val="single"/>
        </w:rPr>
        <w:t xml:space="preserve">  肆万圆整  </w:t>
      </w:r>
      <w:r>
        <w:rPr>
          <w:rFonts w:hint="eastAsia" w:ascii="仿宋" w:hAnsi="仿宋" w:eastAsia="仿宋"/>
          <w:szCs w:val="28"/>
        </w:rPr>
        <w:t>元(￥40000.00)。</w:t>
      </w:r>
    </w:p>
    <w:p w14:paraId="7A1691C9">
      <w:pPr>
        <w:spacing w:line="360" w:lineRule="auto"/>
        <w:ind w:firstLine="560"/>
        <w:rPr>
          <w:rFonts w:ascii="仿宋" w:hAnsi="仿宋" w:eastAsia="仿宋"/>
          <w:szCs w:val="28"/>
        </w:rPr>
      </w:pPr>
      <w:r>
        <w:rPr>
          <w:rFonts w:hint="eastAsia" w:ascii="仿宋" w:hAnsi="仿宋" w:eastAsia="仿宋"/>
          <w:szCs w:val="28"/>
        </w:rPr>
        <w:t xml:space="preserve">4.2 </w:t>
      </w:r>
      <w:r>
        <w:rPr>
          <w:rFonts w:hint="eastAsia" w:ascii="仿宋" w:hAnsi="仿宋" w:eastAsia="仿宋" w:cs="Arial"/>
          <w:kern w:val="0"/>
          <w:szCs w:val="28"/>
        </w:rPr>
        <w:t>上述法律顾问费自合同签订后，分两次付款。第一次付款，即合同签订后15日内支付合同金额的40% ；第二次付款时间为合同到期前15日内支付剩余款项。</w:t>
      </w:r>
      <w:bookmarkStart w:id="3" w:name="#370701"/>
      <w:bookmarkEnd w:id="3"/>
    </w:p>
    <w:p w14:paraId="4FACFCD8">
      <w:pPr>
        <w:spacing w:line="360" w:lineRule="auto"/>
        <w:ind w:firstLine="560"/>
        <w:rPr>
          <w:rFonts w:hint="eastAsia" w:ascii="仿宋" w:hAnsi="仿宋" w:eastAsia="仿宋" w:cs="Arial"/>
          <w:color w:val="FF0000"/>
          <w:kern w:val="0"/>
          <w:szCs w:val="28"/>
          <w:lang w:eastAsia="zh-CN"/>
        </w:rPr>
      </w:pPr>
      <w:r>
        <w:rPr>
          <w:rFonts w:hint="eastAsia" w:ascii="仿宋" w:hAnsi="仿宋" w:eastAsia="仿宋" w:cs="Arial"/>
          <w:color w:val="FF0000"/>
          <w:kern w:val="0"/>
          <w:szCs w:val="28"/>
        </w:rPr>
        <w:t xml:space="preserve">4.3 </w:t>
      </w:r>
      <w:r>
        <w:rPr>
          <w:rFonts w:hint="eastAsia" w:ascii="仿宋" w:hAnsi="仿宋" w:eastAsia="仿宋" w:cs="Arial"/>
          <w:color w:val="FF0000"/>
          <w:kern w:val="0"/>
          <w:szCs w:val="28"/>
        </w:rPr>
        <w:t>乙方收到甲方支付的法律顾问费后，应当向甲方出具正式</w:t>
      </w:r>
      <w:r>
        <w:rPr>
          <w:rFonts w:hint="eastAsia" w:ascii="仿宋" w:hAnsi="仿宋" w:eastAsia="仿宋" w:cs="Arial"/>
          <w:color w:val="FF0000"/>
          <w:kern w:val="0"/>
          <w:szCs w:val="28"/>
          <w:lang w:eastAsia="zh-CN"/>
        </w:rPr>
        <w:t>的</w:t>
      </w:r>
      <w:r>
        <w:rPr>
          <w:rFonts w:hint="eastAsia" w:ascii="仿宋" w:hAnsi="仿宋" w:eastAsia="仿宋" w:cs="Arial"/>
          <w:color w:val="FF0000"/>
          <w:kern w:val="0"/>
          <w:szCs w:val="28"/>
        </w:rPr>
        <w:t>税率为6%的增值税专用发票</w:t>
      </w:r>
      <w:r>
        <w:rPr>
          <w:rFonts w:hint="eastAsia" w:ascii="仿宋" w:hAnsi="仿宋" w:eastAsia="仿宋" w:cs="Arial"/>
          <w:color w:val="FF0000"/>
          <w:kern w:val="0"/>
          <w:szCs w:val="28"/>
          <w:lang w:eastAsia="zh-CN"/>
        </w:rPr>
        <w:t>。</w:t>
      </w:r>
      <w:bookmarkStart w:id="60" w:name="_GoBack"/>
      <w:bookmarkEnd w:id="60"/>
    </w:p>
    <w:p w14:paraId="1291CA4E">
      <w:pPr>
        <w:spacing w:line="360" w:lineRule="auto"/>
        <w:ind w:firstLine="560"/>
        <w:rPr>
          <w:rFonts w:ascii="仿宋" w:hAnsi="仿宋" w:eastAsia="仿宋" w:cs="Arial"/>
          <w:color w:val="000000"/>
          <w:kern w:val="0"/>
          <w:szCs w:val="28"/>
        </w:rPr>
      </w:pPr>
      <w:r>
        <w:rPr>
          <w:rFonts w:hint="eastAsia" w:ascii="仿宋" w:hAnsi="仿宋" w:eastAsia="仿宋" w:cs="Arial"/>
          <w:color w:val="000000"/>
          <w:kern w:val="0"/>
          <w:szCs w:val="28"/>
        </w:rPr>
        <w:t>4.4乙方开户银行账户信息：</w:t>
      </w:r>
    </w:p>
    <w:p w14:paraId="7E0AC595">
      <w:pPr>
        <w:spacing w:line="360" w:lineRule="auto"/>
        <w:ind w:firstLine="560"/>
        <w:rPr>
          <w:rFonts w:ascii="仿宋" w:hAnsi="仿宋" w:eastAsia="仿宋" w:cs="Arial"/>
          <w:color w:val="000000"/>
          <w:kern w:val="0"/>
          <w:szCs w:val="28"/>
        </w:rPr>
      </w:pPr>
      <w:r>
        <w:rPr>
          <w:rFonts w:hint="eastAsia" w:ascii="仿宋" w:hAnsi="仿宋" w:eastAsia="仿宋" w:cs="Arial"/>
          <w:color w:val="000000"/>
          <w:kern w:val="0"/>
          <w:szCs w:val="28"/>
        </w:rPr>
        <w:t>户名：北京大成（昆明）律师事务所</w:t>
      </w:r>
    </w:p>
    <w:p w14:paraId="7E4AEE9E">
      <w:pPr>
        <w:spacing w:line="360" w:lineRule="auto"/>
        <w:ind w:firstLine="560"/>
        <w:rPr>
          <w:rFonts w:ascii="仿宋" w:hAnsi="仿宋" w:eastAsia="仿宋" w:cs="Arial"/>
          <w:color w:val="000000"/>
          <w:kern w:val="0"/>
          <w:szCs w:val="28"/>
        </w:rPr>
      </w:pPr>
      <w:r>
        <w:rPr>
          <w:rFonts w:hint="eastAsia" w:ascii="仿宋" w:hAnsi="仿宋" w:eastAsia="仿宋" w:cs="Arial"/>
          <w:color w:val="000000"/>
          <w:kern w:val="0"/>
          <w:szCs w:val="28"/>
        </w:rPr>
        <w:t>账号：531078102018150024000</w:t>
      </w:r>
    </w:p>
    <w:p w14:paraId="1BB12F98">
      <w:pPr>
        <w:spacing w:line="360" w:lineRule="auto"/>
        <w:ind w:firstLine="560"/>
        <w:rPr>
          <w:rFonts w:ascii="仿宋" w:hAnsi="仿宋" w:eastAsia="仿宋" w:cs="Arial"/>
          <w:color w:val="000000"/>
          <w:kern w:val="0"/>
          <w:szCs w:val="28"/>
        </w:rPr>
      </w:pPr>
      <w:r>
        <w:rPr>
          <w:rFonts w:hint="eastAsia" w:ascii="仿宋" w:hAnsi="仿宋" w:eastAsia="仿宋" w:cs="Arial"/>
          <w:color w:val="000000"/>
          <w:kern w:val="0"/>
          <w:szCs w:val="28"/>
        </w:rPr>
        <w:t>开户行：交通银行昆明护国支行</w:t>
      </w:r>
    </w:p>
    <w:p w14:paraId="777B87FF">
      <w:pPr>
        <w:spacing w:line="360" w:lineRule="auto"/>
        <w:ind w:firstLine="560"/>
        <w:rPr>
          <w:rFonts w:ascii="仿宋" w:hAnsi="仿宋" w:eastAsia="仿宋"/>
          <w:szCs w:val="28"/>
        </w:rPr>
      </w:pPr>
      <w:r>
        <w:rPr>
          <w:rFonts w:hint="eastAsia" w:ascii="仿宋" w:hAnsi="仿宋" w:eastAsia="仿宋"/>
          <w:szCs w:val="28"/>
        </w:rPr>
        <w:t>5. 收费项目</w:t>
      </w:r>
    </w:p>
    <w:p w14:paraId="591D412A">
      <w:pPr>
        <w:spacing w:line="360" w:lineRule="auto"/>
        <w:ind w:firstLine="560"/>
        <w:rPr>
          <w:rFonts w:ascii="仿宋" w:hAnsi="仿宋" w:eastAsia="仿宋"/>
          <w:color w:val="000000"/>
          <w:szCs w:val="28"/>
        </w:rPr>
      </w:pPr>
      <w:r>
        <w:rPr>
          <w:rFonts w:hint="eastAsia" w:ascii="仿宋" w:hAnsi="仿宋" w:eastAsia="仿宋"/>
          <w:szCs w:val="28"/>
        </w:rPr>
        <w:t>5.1 乙方办理本合同2.1项下工作免收任何费用。甲方需要乙方办理本合同2.2、2.3项下的其他工作，均作为案件受理，具体应根据事务的重大复杂程度、乙方律师需投入的时间和精力等具体情况，按本合同附件《律师服务收费办法》双方另行签订法律服务合同并约定需另行向乙方支付律师服务费，但乙方应对甲方予以10%-20%的优惠。</w:t>
      </w:r>
    </w:p>
    <w:p w14:paraId="5259C7F1">
      <w:pPr>
        <w:widowControl/>
        <w:spacing w:line="360" w:lineRule="auto"/>
        <w:ind w:firstLine="560"/>
        <w:rPr>
          <w:rFonts w:ascii="仿宋" w:hAnsi="仿宋" w:eastAsia="仿宋"/>
          <w:szCs w:val="28"/>
        </w:rPr>
      </w:pPr>
      <w:bookmarkStart w:id="4" w:name="#370703"/>
      <w:bookmarkEnd w:id="4"/>
      <w:r>
        <w:rPr>
          <w:rFonts w:hint="eastAsia" w:ascii="仿宋" w:hAnsi="仿宋" w:eastAsia="仿宋"/>
          <w:szCs w:val="28"/>
        </w:rPr>
        <w:t>5.2 乙方作为案件代理收取的律师服务费，甲方不得因当事人间的和解、调解、撤诉而要求甲方返还部分或者全部律师服务费。</w:t>
      </w:r>
    </w:p>
    <w:p w14:paraId="595840AA">
      <w:pPr>
        <w:spacing w:line="360" w:lineRule="auto"/>
        <w:ind w:firstLine="560"/>
        <w:rPr>
          <w:rFonts w:ascii="仿宋" w:hAnsi="仿宋" w:eastAsia="仿宋"/>
          <w:szCs w:val="28"/>
        </w:rPr>
      </w:pPr>
      <w:r>
        <w:rPr>
          <w:rFonts w:hint="eastAsia" w:ascii="仿宋" w:hAnsi="仿宋" w:eastAsia="仿宋"/>
          <w:szCs w:val="28"/>
        </w:rPr>
        <w:t>6.  实际办案费用</w:t>
      </w:r>
    </w:p>
    <w:p w14:paraId="29B5AAFA">
      <w:pPr>
        <w:widowControl/>
        <w:spacing w:line="360" w:lineRule="auto"/>
        <w:ind w:firstLine="560"/>
        <w:rPr>
          <w:rFonts w:ascii="仿宋" w:hAnsi="仿宋" w:eastAsia="仿宋" w:cs="Arial"/>
          <w:color w:val="000000"/>
          <w:kern w:val="0"/>
          <w:szCs w:val="28"/>
        </w:rPr>
      </w:pPr>
      <w:r>
        <w:rPr>
          <w:rFonts w:hint="eastAsia" w:ascii="仿宋" w:hAnsi="仿宋" w:eastAsia="仿宋" w:cs="Arial"/>
          <w:color w:val="000000"/>
          <w:kern w:val="0"/>
          <w:szCs w:val="28"/>
        </w:rPr>
        <w:t>双方商定下列与法律顾问服务有关的费用开支由甲方负担，且未包含在本合同第4条的法律顾问费、第5条的律师服务费中：</w:t>
      </w:r>
    </w:p>
    <w:p w14:paraId="396CFDE8">
      <w:pPr>
        <w:widowControl/>
        <w:spacing w:line="360" w:lineRule="auto"/>
        <w:ind w:firstLine="560"/>
        <w:rPr>
          <w:rFonts w:ascii="仿宋" w:hAnsi="仿宋" w:eastAsia="仿宋" w:cs="Arial"/>
          <w:color w:val="000000"/>
          <w:kern w:val="0"/>
          <w:szCs w:val="28"/>
        </w:rPr>
      </w:pPr>
      <w:bookmarkStart w:id="5" w:name="#370704"/>
      <w:bookmarkEnd w:id="5"/>
      <w:r>
        <w:rPr>
          <w:rFonts w:hint="eastAsia" w:ascii="仿宋" w:hAnsi="仿宋" w:eastAsia="仿宋"/>
          <w:szCs w:val="28"/>
        </w:rPr>
        <w:t>6.1</w:t>
      </w:r>
      <w:r>
        <w:rPr>
          <w:rFonts w:hint="eastAsia" w:ascii="仿宋" w:hAnsi="仿宋" w:eastAsia="仿宋" w:cs="Arial"/>
          <w:color w:val="000000"/>
          <w:kern w:val="0"/>
          <w:szCs w:val="28"/>
        </w:rPr>
        <w:t xml:space="preserve"> 直接费用包括但不限于异地交通、住宿、通讯、电信、文印等办案中必需的费用； </w:t>
      </w:r>
    </w:p>
    <w:p w14:paraId="255572E4">
      <w:pPr>
        <w:widowControl/>
        <w:spacing w:line="360" w:lineRule="auto"/>
        <w:ind w:firstLine="560"/>
        <w:rPr>
          <w:rFonts w:ascii="仿宋" w:hAnsi="仿宋" w:eastAsia="仿宋" w:cs="Arial"/>
          <w:color w:val="000000"/>
          <w:kern w:val="0"/>
          <w:szCs w:val="28"/>
        </w:rPr>
      </w:pPr>
      <w:bookmarkStart w:id="6" w:name="#370705"/>
      <w:bookmarkEnd w:id="6"/>
      <w:r>
        <w:rPr>
          <w:rFonts w:hint="eastAsia" w:ascii="仿宋" w:hAnsi="仿宋" w:eastAsia="仿宋"/>
          <w:szCs w:val="28"/>
        </w:rPr>
        <w:t xml:space="preserve">6. </w:t>
      </w:r>
      <w:r>
        <w:rPr>
          <w:rFonts w:hint="eastAsia" w:ascii="仿宋" w:hAnsi="仿宋" w:eastAsia="仿宋" w:cs="Arial"/>
          <w:color w:val="000000"/>
          <w:kern w:val="0"/>
          <w:szCs w:val="28"/>
        </w:rPr>
        <w:t>2 间接费用包括但不限于委托审计、鉴定费、公证费、查档费及其他用于收集资料的费用；</w:t>
      </w:r>
    </w:p>
    <w:p w14:paraId="5A2564DA">
      <w:pPr>
        <w:widowControl/>
        <w:spacing w:line="360" w:lineRule="auto"/>
        <w:ind w:firstLine="560"/>
        <w:rPr>
          <w:rFonts w:ascii="仿宋" w:hAnsi="仿宋" w:eastAsia="仿宋" w:cs="Arial"/>
          <w:color w:val="000000"/>
          <w:kern w:val="0"/>
          <w:szCs w:val="28"/>
        </w:rPr>
      </w:pPr>
      <w:bookmarkStart w:id="7" w:name="#370706"/>
      <w:bookmarkEnd w:id="7"/>
      <w:r>
        <w:rPr>
          <w:rFonts w:hint="eastAsia" w:ascii="仿宋" w:hAnsi="仿宋" w:eastAsia="仿宋"/>
          <w:szCs w:val="28"/>
        </w:rPr>
        <w:t xml:space="preserve">6. </w:t>
      </w:r>
      <w:r>
        <w:rPr>
          <w:rFonts w:hint="eastAsia" w:ascii="仿宋" w:hAnsi="仿宋" w:eastAsia="仿宋" w:cs="Arial"/>
          <w:color w:val="000000"/>
          <w:kern w:val="0"/>
          <w:szCs w:val="28"/>
        </w:rPr>
        <w:t>3 上列其他费用由乙方律师向甲方据实报销；</w:t>
      </w:r>
    </w:p>
    <w:p w14:paraId="679AD8BC">
      <w:pPr>
        <w:widowControl/>
        <w:spacing w:line="360" w:lineRule="auto"/>
        <w:ind w:firstLine="560"/>
        <w:rPr>
          <w:rFonts w:ascii="仿宋" w:hAnsi="仿宋" w:eastAsia="仿宋" w:cs="Arial"/>
          <w:color w:val="000000"/>
          <w:kern w:val="0"/>
          <w:szCs w:val="28"/>
        </w:rPr>
      </w:pPr>
      <w:bookmarkStart w:id="8" w:name="#370707"/>
      <w:bookmarkEnd w:id="8"/>
      <w:r>
        <w:rPr>
          <w:rFonts w:hint="eastAsia" w:ascii="仿宋" w:hAnsi="仿宋" w:eastAsia="仿宋"/>
          <w:szCs w:val="28"/>
        </w:rPr>
        <w:t xml:space="preserve">6. </w:t>
      </w:r>
      <w:r>
        <w:rPr>
          <w:rFonts w:hint="eastAsia" w:ascii="仿宋" w:hAnsi="仿宋" w:eastAsia="仿宋" w:cs="Arial"/>
          <w:color w:val="000000"/>
          <w:kern w:val="0"/>
          <w:szCs w:val="28"/>
        </w:rPr>
        <w:t>4 乙方和律师不应追求奢侈享受，而应注意节约，合理安排实际办案费用的开支，避免不必要的浪费。</w:t>
      </w:r>
    </w:p>
    <w:p w14:paraId="3A798076">
      <w:pPr>
        <w:spacing w:line="360" w:lineRule="auto"/>
        <w:ind w:firstLine="560"/>
        <w:rPr>
          <w:rFonts w:ascii="仿宋" w:hAnsi="仿宋" w:eastAsia="仿宋"/>
          <w:szCs w:val="28"/>
        </w:rPr>
      </w:pPr>
      <w:r>
        <w:rPr>
          <w:rFonts w:hint="eastAsia" w:ascii="仿宋" w:hAnsi="仿宋" w:eastAsia="仿宋"/>
          <w:szCs w:val="28"/>
        </w:rPr>
        <w:t>7. 聘请年限</w:t>
      </w:r>
    </w:p>
    <w:p w14:paraId="6241F260">
      <w:pPr>
        <w:widowControl/>
        <w:spacing w:line="360" w:lineRule="auto"/>
        <w:ind w:firstLine="560"/>
        <w:rPr>
          <w:rFonts w:ascii="仿宋" w:hAnsi="仿宋" w:eastAsia="仿宋" w:cs="Arial"/>
          <w:color w:val="000000"/>
          <w:kern w:val="0"/>
          <w:szCs w:val="28"/>
        </w:rPr>
      </w:pPr>
      <w:bookmarkStart w:id="9" w:name="#370709"/>
      <w:bookmarkEnd w:id="9"/>
      <w:r>
        <w:rPr>
          <w:rFonts w:hint="eastAsia" w:ascii="仿宋" w:hAnsi="仿宋" w:eastAsia="仿宋" w:cs="Arial"/>
          <w:color w:val="000000"/>
          <w:kern w:val="0"/>
          <w:szCs w:val="28"/>
        </w:rPr>
        <w:t>7.1 本合同为定期合同，每期一年，第一期自</w:t>
      </w:r>
      <w:r>
        <w:rPr>
          <w:rFonts w:hint="eastAsia" w:ascii="仿宋" w:hAnsi="仿宋" w:eastAsia="仿宋" w:cs="Arial"/>
          <w:color w:val="000000"/>
          <w:kern w:val="0"/>
          <w:szCs w:val="28"/>
          <w:u w:val="single"/>
        </w:rPr>
        <w:t xml:space="preserve">2025 </w:t>
      </w:r>
      <w:r>
        <w:rPr>
          <w:rFonts w:hint="eastAsia" w:ascii="仿宋" w:hAnsi="仿宋" w:eastAsia="仿宋" w:cs="Arial"/>
          <w:color w:val="000000"/>
          <w:kern w:val="0"/>
          <w:szCs w:val="28"/>
        </w:rPr>
        <w:t>年</w:t>
      </w:r>
      <w:r>
        <w:rPr>
          <w:rFonts w:hint="eastAsia" w:ascii="仿宋" w:hAnsi="仿宋" w:eastAsia="仿宋" w:cs="Arial"/>
          <w:color w:val="000000"/>
          <w:kern w:val="0"/>
          <w:szCs w:val="28"/>
          <w:u w:val="single"/>
        </w:rPr>
        <w:t xml:space="preserve"> 12 </w:t>
      </w:r>
      <w:r>
        <w:rPr>
          <w:rFonts w:hint="eastAsia" w:ascii="仿宋" w:hAnsi="仿宋" w:eastAsia="仿宋" w:cs="Arial"/>
          <w:color w:val="000000"/>
          <w:kern w:val="0"/>
          <w:szCs w:val="28"/>
        </w:rPr>
        <w:t>月</w:t>
      </w:r>
      <w:r>
        <w:rPr>
          <w:rFonts w:hint="eastAsia" w:ascii="仿宋" w:hAnsi="仿宋" w:eastAsia="仿宋" w:cs="Arial"/>
          <w:color w:val="000000"/>
          <w:kern w:val="0"/>
          <w:szCs w:val="28"/>
          <w:u w:val="single"/>
        </w:rPr>
        <w:t xml:space="preserve"> 2 </w:t>
      </w:r>
      <w:r>
        <w:rPr>
          <w:rFonts w:hint="eastAsia" w:ascii="仿宋" w:hAnsi="仿宋" w:eastAsia="仿宋" w:cs="Arial"/>
          <w:color w:val="000000"/>
          <w:kern w:val="0"/>
          <w:szCs w:val="28"/>
        </w:rPr>
        <w:t xml:space="preserve">日至 </w:t>
      </w:r>
      <w:r>
        <w:rPr>
          <w:rFonts w:hint="eastAsia" w:ascii="仿宋" w:hAnsi="仿宋" w:eastAsia="仿宋" w:cs="Arial"/>
          <w:color w:val="000000"/>
          <w:kern w:val="0"/>
          <w:szCs w:val="28"/>
          <w:u w:val="single"/>
        </w:rPr>
        <w:t xml:space="preserve"> 2026 </w:t>
      </w:r>
      <w:r>
        <w:rPr>
          <w:rFonts w:hint="eastAsia" w:ascii="仿宋" w:hAnsi="仿宋" w:eastAsia="仿宋" w:cs="Arial"/>
          <w:color w:val="000000"/>
          <w:kern w:val="0"/>
          <w:szCs w:val="28"/>
        </w:rPr>
        <w:t>年</w:t>
      </w:r>
      <w:r>
        <w:rPr>
          <w:rFonts w:hint="eastAsia" w:ascii="仿宋" w:hAnsi="仿宋" w:eastAsia="仿宋" w:cs="Arial"/>
          <w:color w:val="000000"/>
          <w:kern w:val="0"/>
          <w:szCs w:val="28"/>
          <w:u w:val="single"/>
        </w:rPr>
        <w:t xml:space="preserve"> 12 </w:t>
      </w:r>
      <w:r>
        <w:rPr>
          <w:rFonts w:hint="eastAsia" w:ascii="仿宋" w:hAnsi="仿宋" w:eastAsia="仿宋" w:cs="Arial"/>
          <w:color w:val="000000"/>
          <w:kern w:val="0"/>
          <w:szCs w:val="28"/>
        </w:rPr>
        <w:t>月</w:t>
      </w:r>
      <w:r>
        <w:rPr>
          <w:rFonts w:hint="eastAsia" w:ascii="仿宋" w:hAnsi="仿宋" w:eastAsia="仿宋" w:cs="Arial"/>
          <w:color w:val="000000"/>
          <w:kern w:val="0"/>
          <w:szCs w:val="28"/>
          <w:u w:val="single"/>
        </w:rPr>
        <w:t xml:space="preserve"> 2 </w:t>
      </w:r>
      <w:r>
        <w:rPr>
          <w:rFonts w:hint="eastAsia" w:ascii="仿宋" w:hAnsi="仿宋" w:eastAsia="仿宋" w:cs="Arial"/>
          <w:color w:val="000000"/>
          <w:kern w:val="0"/>
          <w:szCs w:val="28"/>
        </w:rPr>
        <w:t>日止；</w:t>
      </w:r>
    </w:p>
    <w:p w14:paraId="16FC3FF8">
      <w:pPr>
        <w:widowControl/>
        <w:spacing w:line="360" w:lineRule="auto"/>
        <w:ind w:firstLine="560"/>
        <w:rPr>
          <w:rFonts w:ascii="仿宋" w:hAnsi="仿宋" w:eastAsia="仿宋" w:cs="Arial"/>
          <w:color w:val="FF0000"/>
          <w:kern w:val="0"/>
          <w:szCs w:val="28"/>
        </w:rPr>
      </w:pPr>
      <w:bookmarkStart w:id="10" w:name="#370710"/>
      <w:bookmarkEnd w:id="10"/>
      <w:r>
        <w:rPr>
          <w:rFonts w:hint="eastAsia" w:ascii="仿宋" w:hAnsi="仿宋" w:eastAsia="仿宋" w:cs="Arial"/>
          <w:color w:val="FF0000"/>
          <w:kern w:val="0"/>
          <w:szCs w:val="28"/>
        </w:rPr>
        <w:t>7.2 本合同期满</w:t>
      </w:r>
      <w:r>
        <w:rPr>
          <w:rFonts w:hint="eastAsia" w:ascii="仿宋" w:hAnsi="仿宋" w:eastAsia="仿宋" w:cs="Arial"/>
          <w:color w:val="FF0000"/>
          <w:kern w:val="0"/>
          <w:szCs w:val="28"/>
          <w:lang w:val="en-US" w:eastAsia="zh-CN"/>
        </w:rPr>
        <w:t>前三十日内，由甲乙双方共同协商是否续签</w:t>
      </w:r>
      <w:r>
        <w:rPr>
          <w:rFonts w:hint="eastAsia" w:ascii="仿宋" w:hAnsi="仿宋" w:eastAsia="仿宋" w:cs="Arial"/>
          <w:color w:val="FF0000"/>
          <w:kern w:val="0"/>
          <w:szCs w:val="28"/>
        </w:rPr>
        <w:t>。</w:t>
      </w:r>
    </w:p>
    <w:p w14:paraId="662EC091">
      <w:pPr>
        <w:spacing w:line="360" w:lineRule="auto"/>
        <w:ind w:firstLine="560"/>
        <w:rPr>
          <w:rFonts w:ascii="仿宋" w:hAnsi="仿宋" w:eastAsia="仿宋"/>
          <w:szCs w:val="28"/>
        </w:rPr>
      </w:pPr>
      <w:r>
        <w:rPr>
          <w:rFonts w:hint="eastAsia" w:ascii="仿宋" w:hAnsi="仿宋" w:eastAsia="仿宋"/>
          <w:szCs w:val="28"/>
        </w:rPr>
        <w:t>8. 甲方权利义务</w:t>
      </w:r>
    </w:p>
    <w:p w14:paraId="2A9E72B6">
      <w:pPr>
        <w:widowControl/>
        <w:spacing w:line="360" w:lineRule="auto"/>
        <w:ind w:firstLine="560"/>
        <w:rPr>
          <w:rFonts w:ascii="仿宋" w:hAnsi="仿宋" w:eastAsia="仿宋" w:cs="Arial"/>
          <w:color w:val="000000"/>
          <w:kern w:val="0"/>
          <w:szCs w:val="28"/>
        </w:rPr>
      </w:pPr>
      <w:r>
        <w:rPr>
          <w:rFonts w:hint="eastAsia" w:ascii="仿宋" w:hAnsi="仿宋" w:eastAsia="仿宋"/>
          <w:szCs w:val="28"/>
        </w:rPr>
        <w:t xml:space="preserve">8.1 </w:t>
      </w:r>
      <w:r>
        <w:rPr>
          <w:rFonts w:hint="eastAsia" w:ascii="仿宋" w:hAnsi="仿宋" w:eastAsia="仿宋" w:cs="Arial"/>
          <w:color w:val="000000"/>
          <w:kern w:val="0"/>
          <w:szCs w:val="28"/>
        </w:rPr>
        <w:t>如实陈述与委托事项有关的生产经营和业务往来情况；</w:t>
      </w:r>
    </w:p>
    <w:p w14:paraId="1BA38982">
      <w:pPr>
        <w:widowControl/>
        <w:spacing w:line="360" w:lineRule="auto"/>
        <w:ind w:firstLine="560"/>
        <w:rPr>
          <w:rFonts w:ascii="仿宋" w:hAnsi="仿宋" w:eastAsia="仿宋" w:cs="Arial"/>
          <w:color w:val="000000"/>
          <w:kern w:val="0"/>
          <w:szCs w:val="28"/>
        </w:rPr>
      </w:pPr>
      <w:r>
        <w:rPr>
          <w:rFonts w:hint="eastAsia" w:ascii="仿宋" w:hAnsi="仿宋" w:eastAsia="仿宋"/>
          <w:szCs w:val="28"/>
        </w:rPr>
        <w:t>8.</w:t>
      </w:r>
      <w:r>
        <w:rPr>
          <w:rFonts w:hint="eastAsia" w:ascii="仿宋" w:hAnsi="仿宋" w:eastAsia="仿宋" w:cs="Arial"/>
          <w:color w:val="000000"/>
          <w:kern w:val="0"/>
          <w:szCs w:val="28"/>
        </w:rPr>
        <w:t>2 向乙方和律师及时、详尽提供与委托事项有关的全部文件和背景材料，</w:t>
      </w:r>
      <w:r>
        <w:rPr>
          <w:rFonts w:hint="eastAsia" w:ascii="仿宋" w:hAnsi="仿宋" w:eastAsia="仿宋"/>
          <w:szCs w:val="28"/>
        </w:rPr>
        <w:t>并保证资料文件的真实性和合法性；</w:t>
      </w:r>
      <w:r>
        <w:rPr>
          <w:rFonts w:hint="eastAsia" w:ascii="仿宋" w:hAnsi="仿宋" w:eastAsia="仿宋" w:cs="Arial"/>
          <w:color w:val="000000"/>
          <w:kern w:val="0"/>
          <w:szCs w:val="28"/>
        </w:rPr>
        <w:t>如有关的情况和事实发生变化，应及时告知乙方或律师；</w:t>
      </w:r>
      <w:bookmarkStart w:id="11" w:name="#370722"/>
      <w:bookmarkEnd w:id="11"/>
      <w:r>
        <w:rPr>
          <w:rFonts w:hint="eastAsia" w:ascii="仿宋" w:hAnsi="仿宋" w:eastAsia="仿宋" w:cs="Arial"/>
          <w:color w:val="000000"/>
          <w:kern w:val="0"/>
          <w:szCs w:val="28"/>
        </w:rPr>
        <w:t>如变更联系信息，应当及时通知乙方和律师；</w:t>
      </w:r>
    </w:p>
    <w:p w14:paraId="6BDF0E73">
      <w:pPr>
        <w:spacing w:line="360" w:lineRule="auto"/>
        <w:ind w:firstLine="560"/>
        <w:rPr>
          <w:rFonts w:ascii="仿宋" w:hAnsi="仿宋" w:eastAsia="仿宋"/>
          <w:szCs w:val="28"/>
        </w:rPr>
      </w:pPr>
      <w:r>
        <w:rPr>
          <w:rFonts w:hint="eastAsia" w:ascii="仿宋" w:hAnsi="仿宋" w:eastAsia="仿宋"/>
          <w:szCs w:val="28"/>
        </w:rPr>
        <w:t>8.3 为乙方提供工作上的便利，配合乙方工作并保证为工作保密；</w:t>
      </w:r>
    </w:p>
    <w:p w14:paraId="673A43E4">
      <w:pPr>
        <w:spacing w:line="360" w:lineRule="auto"/>
        <w:ind w:firstLine="560"/>
        <w:rPr>
          <w:rFonts w:ascii="仿宋" w:hAnsi="仿宋" w:eastAsia="仿宋" w:cs="Arial"/>
          <w:color w:val="000000"/>
          <w:kern w:val="0"/>
          <w:szCs w:val="28"/>
        </w:rPr>
      </w:pPr>
      <w:r>
        <w:rPr>
          <w:rFonts w:hint="eastAsia" w:ascii="仿宋" w:hAnsi="仿宋" w:eastAsia="仿宋"/>
          <w:szCs w:val="28"/>
        </w:rPr>
        <w:t>8.4 指定</w:t>
      </w:r>
      <w:r>
        <w:rPr>
          <w:rFonts w:hint="eastAsia" w:ascii="仿宋" w:hAnsi="仿宋" w:eastAsia="仿宋"/>
          <w:szCs w:val="28"/>
          <w:u w:val="single"/>
        </w:rPr>
        <w:t xml:space="preserve">           </w:t>
      </w:r>
      <w:r>
        <w:rPr>
          <w:rFonts w:hint="eastAsia" w:ascii="仿宋" w:hAnsi="仿宋" w:eastAsia="仿宋"/>
          <w:szCs w:val="28"/>
        </w:rPr>
        <w:t>为</w:t>
      </w:r>
      <w:r>
        <w:rPr>
          <w:rFonts w:hint="eastAsia" w:ascii="仿宋" w:hAnsi="仿宋" w:eastAsia="仿宋" w:cs="Arial"/>
          <w:color w:val="000000"/>
          <w:kern w:val="0"/>
          <w:szCs w:val="28"/>
        </w:rPr>
        <w:t>其代表</w:t>
      </w:r>
      <w:r>
        <w:rPr>
          <w:rFonts w:hint="eastAsia" w:ascii="仿宋" w:hAnsi="仿宋" w:eastAsia="仿宋"/>
          <w:szCs w:val="28"/>
        </w:rPr>
        <w:t>，</w:t>
      </w:r>
      <w:r>
        <w:rPr>
          <w:rFonts w:hint="eastAsia" w:ascii="仿宋" w:hAnsi="仿宋" w:eastAsia="仿宋" w:cs="Arial"/>
          <w:color w:val="000000"/>
          <w:kern w:val="0"/>
          <w:szCs w:val="28"/>
        </w:rPr>
        <w:t>负责与乙方联系，转达甲方的指示和要求，提供或接收文件和资料等，甲方更换代表应当书面通知乙方；</w:t>
      </w:r>
    </w:p>
    <w:p w14:paraId="414B743E">
      <w:pPr>
        <w:spacing w:line="360" w:lineRule="auto"/>
        <w:ind w:firstLine="560"/>
        <w:rPr>
          <w:rFonts w:ascii="仿宋" w:hAnsi="仿宋" w:eastAsia="仿宋"/>
          <w:szCs w:val="28"/>
        </w:rPr>
      </w:pPr>
      <w:r>
        <w:rPr>
          <w:rFonts w:hint="eastAsia" w:ascii="仿宋" w:hAnsi="仿宋" w:eastAsia="仿宋"/>
          <w:szCs w:val="28"/>
        </w:rPr>
        <w:t>8.5 当乙方律师为甲方的委托事务离开甲方注册地(住所地)外出工作时，甲方应据实向乙方支付交通、住宿和差旅、津贴等费用；</w:t>
      </w:r>
    </w:p>
    <w:p w14:paraId="06B75661">
      <w:pPr>
        <w:widowControl/>
        <w:spacing w:line="360" w:lineRule="auto"/>
        <w:ind w:firstLine="560"/>
        <w:rPr>
          <w:rFonts w:ascii="仿宋" w:hAnsi="仿宋" w:eastAsia="仿宋" w:cs="Arial"/>
          <w:color w:val="000000"/>
          <w:kern w:val="0"/>
          <w:szCs w:val="28"/>
        </w:rPr>
      </w:pPr>
      <w:r>
        <w:rPr>
          <w:rFonts w:hint="eastAsia" w:ascii="仿宋" w:hAnsi="仿宋" w:eastAsia="仿宋"/>
          <w:szCs w:val="28"/>
        </w:rPr>
        <w:t>8.</w:t>
      </w:r>
      <w:r>
        <w:rPr>
          <w:rFonts w:hint="eastAsia" w:ascii="仿宋" w:hAnsi="仿宋" w:eastAsia="仿宋" w:cs="Arial"/>
          <w:color w:val="000000"/>
          <w:kern w:val="0"/>
          <w:szCs w:val="28"/>
        </w:rPr>
        <w:t>6 对其需要乙方审查修改的合同等文本，尽可能向乙方提供电子版本，并通过电子邮件发送给乙方；</w:t>
      </w:r>
      <w:bookmarkStart w:id="12" w:name="#370726"/>
      <w:bookmarkEnd w:id="12"/>
      <w:bookmarkStart w:id="13" w:name="#370718"/>
      <w:bookmarkEnd w:id="13"/>
      <w:bookmarkStart w:id="14" w:name="#370719"/>
      <w:bookmarkEnd w:id="14"/>
      <w:bookmarkStart w:id="15" w:name="#370720"/>
      <w:bookmarkEnd w:id="15"/>
      <w:bookmarkStart w:id="16" w:name="#370724"/>
      <w:bookmarkEnd w:id="16"/>
      <w:bookmarkStart w:id="17" w:name="#370725"/>
      <w:bookmarkEnd w:id="17"/>
    </w:p>
    <w:p w14:paraId="42797146">
      <w:pPr>
        <w:widowControl/>
        <w:spacing w:line="360" w:lineRule="auto"/>
        <w:ind w:firstLine="560"/>
        <w:rPr>
          <w:rFonts w:ascii="仿宋" w:hAnsi="仿宋" w:eastAsia="仿宋" w:cs="Arial"/>
          <w:color w:val="000000"/>
          <w:kern w:val="0"/>
          <w:szCs w:val="28"/>
        </w:rPr>
      </w:pPr>
      <w:r>
        <w:rPr>
          <w:rFonts w:hint="eastAsia" w:ascii="仿宋" w:hAnsi="仿宋" w:eastAsia="仿宋"/>
          <w:szCs w:val="28"/>
        </w:rPr>
        <w:t>8.</w:t>
      </w:r>
      <w:r>
        <w:rPr>
          <w:rFonts w:hint="eastAsia" w:ascii="仿宋" w:hAnsi="仿宋" w:eastAsia="仿宋" w:cs="Arial"/>
          <w:color w:val="000000"/>
          <w:kern w:val="0"/>
          <w:szCs w:val="28"/>
        </w:rPr>
        <w:t>7 甲方有责任对委托事项作出独立的判断、决策，甲方根据乙方律师提供的法律意见、建议、方案所作出的决定而导致的损失，非因乙方律师错误地运用法律等失职行为造成的，由甲方自行承担；</w:t>
      </w:r>
    </w:p>
    <w:p w14:paraId="47FB6072">
      <w:pPr>
        <w:widowControl/>
        <w:spacing w:line="360" w:lineRule="auto"/>
        <w:ind w:firstLine="560"/>
        <w:rPr>
          <w:rFonts w:ascii="仿宋" w:hAnsi="仿宋" w:eastAsia="仿宋" w:cs="Arial"/>
          <w:color w:val="000000"/>
          <w:kern w:val="0"/>
          <w:szCs w:val="28"/>
        </w:rPr>
      </w:pPr>
      <w:bookmarkStart w:id="18" w:name="#371661"/>
      <w:bookmarkEnd w:id="18"/>
      <w:r>
        <w:rPr>
          <w:rFonts w:hint="eastAsia" w:ascii="仿宋" w:hAnsi="仿宋" w:eastAsia="仿宋"/>
          <w:szCs w:val="28"/>
        </w:rPr>
        <w:t>8.</w:t>
      </w:r>
      <w:r>
        <w:rPr>
          <w:rFonts w:hint="eastAsia" w:ascii="仿宋" w:hAnsi="仿宋" w:eastAsia="仿宋" w:cs="Arial"/>
          <w:color w:val="000000"/>
          <w:kern w:val="0"/>
          <w:szCs w:val="28"/>
        </w:rPr>
        <w:t>8 不得向乙方和律师提出与法律以及律师职业道德和执业纪律的规定相冲突的要求；</w:t>
      </w:r>
    </w:p>
    <w:p w14:paraId="11AFE356">
      <w:pPr>
        <w:spacing w:line="360" w:lineRule="auto"/>
        <w:ind w:firstLine="560"/>
        <w:rPr>
          <w:rFonts w:ascii="仿宋" w:hAnsi="仿宋" w:eastAsia="仿宋"/>
          <w:szCs w:val="28"/>
        </w:rPr>
      </w:pPr>
      <w:r>
        <w:rPr>
          <w:rFonts w:hint="eastAsia" w:ascii="仿宋" w:hAnsi="仿宋" w:eastAsia="仿宋"/>
          <w:szCs w:val="28"/>
        </w:rPr>
        <w:t>8.</w:t>
      </w:r>
      <w:r>
        <w:rPr>
          <w:rFonts w:hint="eastAsia" w:ascii="仿宋" w:hAnsi="仿宋" w:eastAsia="仿宋" w:cs="Arial"/>
          <w:color w:val="000000"/>
          <w:kern w:val="0"/>
          <w:szCs w:val="28"/>
        </w:rPr>
        <w:t xml:space="preserve">9 </w:t>
      </w:r>
      <w:r>
        <w:rPr>
          <w:rFonts w:hint="eastAsia" w:ascii="仿宋" w:hAnsi="仿宋" w:eastAsia="仿宋"/>
          <w:szCs w:val="28"/>
        </w:rPr>
        <w:t>未经甲方正式授权，乙方对外签署的有关法律文件，甲方有权拒绝执行；给甲方造成损失的，甲方有权要求乙方赔偿；</w:t>
      </w:r>
    </w:p>
    <w:p w14:paraId="23B11FA1">
      <w:pPr>
        <w:widowControl/>
        <w:spacing w:line="360" w:lineRule="auto"/>
        <w:ind w:firstLine="560"/>
        <w:rPr>
          <w:rFonts w:ascii="仿宋" w:hAnsi="仿宋" w:eastAsia="仿宋" w:cs="Arial"/>
          <w:color w:val="000000"/>
          <w:kern w:val="0"/>
          <w:szCs w:val="28"/>
        </w:rPr>
      </w:pPr>
      <w:r>
        <w:rPr>
          <w:rFonts w:hint="eastAsia" w:ascii="仿宋" w:hAnsi="仿宋" w:eastAsia="仿宋"/>
          <w:szCs w:val="28"/>
        </w:rPr>
        <w:t>8.</w:t>
      </w:r>
      <w:r>
        <w:rPr>
          <w:rFonts w:hint="eastAsia" w:ascii="仿宋" w:hAnsi="仿宋" w:eastAsia="仿宋" w:cs="Arial"/>
          <w:color w:val="000000"/>
          <w:kern w:val="0"/>
          <w:szCs w:val="28"/>
        </w:rPr>
        <w:t>10 按照约定支付法律顾问费和其他费用。</w:t>
      </w:r>
    </w:p>
    <w:p w14:paraId="246845B5">
      <w:pPr>
        <w:widowControl/>
        <w:spacing w:line="360" w:lineRule="auto"/>
        <w:ind w:firstLine="560"/>
        <w:rPr>
          <w:rFonts w:ascii="仿宋" w:hAnsi="仿宋" w:eastAsia="仿宋" w:cs="Arial"/>
          <w:color w:val="C00000"/>
          <w:kern w:val="0"/>
          <w:szCs w:val="28"/>
        </w:rPr>
      </w:pPr>
      <w:r>
        <w:rPr>
          <w:rFonts w:hint="eastAsia" w:ascii="仿宋" w:hAnsi="仿宋" w:eastAsia="仿宋" w:cs="Arial"/>
          <w:kern w:val="0"/>
          <w:szCs w:val="28"/>
        </w:rPr>
        <w:t>8.11 乙方应按本合同第2</w:t>
      </w:r>
      <w:r>
        <w:rPr>
          <w:rFonts w:hint="eastAsia" w:ascii="仿宋" w:hAnsi="仿宋" w:eastAsia="仿宋"/>
          <w:szCs w:val="28"/>
        </w:rPr>
        <w:t>条约定的时间交付服务成果，若出现</w:t>
      </w:r>
      <w:r>
        <w:rPr>
          <w:rFonts w:hint="eastAsia" w:ascii="仿宋" w:hAnsi="仿宋" w:eastAsia="仿宋"/>
          <w:szCs w:val="28"/>
          <w:u w:val="single"/>
        </w:rPr>
        <w:t xml:space="preserve"> 5 </w:t>
      </w:r>
      <w:r>
        <w:rPr>
          <w:rFonts w:hint="eastAsia" w:ascii="仿宋" w:hAnsi="仿宋" w:eastAsia="仿宋"/>
          <w:szCs w:val="28"/>
        </w:rPr>
        <w:t>次超过约定时间交付服务成果的，甲方有权随时解除本服务合同，律师费双方根据乙方提供服务的时间据实结算。</w:t>
      </w:r>
    </w:p>
    <w:p w14:paraId="5D171E9B">
      <w:pPr>
        <w:spacing w:line="360" w:lineRule="auto"/>
        <w:ind w:firstLine="560"/>
        <w:rPr>
          <w:rFonts w:ascii="仿宋" w:hAnsi="仿宋" w:eastAsia="仿宋"/>
          <w:szCs w:val="28"/>
        </w:rPr>
      </w:pPr>
      <w:r>
        <w:rPr>
          <w:rFonts w:hint="eastAsia" w:ascii="仿宋" w:hAnsi="仿宋" w:eastAsia="仿宋"/>
          <w:szCs w:val="28"/>
        </w:rPr>
        <w:t>9. 乙方权利义务</w:t>
      </w:r>
    </w:p>
    <w:p w14:paraId="5AFE0636">
      <w:pPr>
        <w:spacing w:line="360" w:lineRule="auto"/>
        <w:ind w:firstLine="560"/>
        <w:rPr>
          <w:rFonts w:ascii="仿宋" w:hAnsi="仿宋" w:eastAsia="仿宋"/>
          <w:szCs w:val="28"/>
        </w:rPr>
      </w:pPr>
      <w:r>
        <w:rPr>
          <w:rFonts w:hint="eastAsia" w:ascii="仿宋" w:hAnsi="仿宋" w:eastAsia="仿宋"/>
          <w:szCs w:val="28"/>
        </w:rPr>
        <w:t>9.1 乙方接到甲方有关本合同第二条所规定事项之委托，应及时安排办理，</w:t>
      </w:r>
      <w:r>
        <w:rPr>
          <w:rFonts w:hint="eastAsia" w:ascii="仿宋" w:hAnsi="仿宋" w:eastAsia="仿宋" w:cs="Arial"/>
          <w:color w:val="000000"/>
          <w:kern w:val="0"/>
          <w:szCs w:val="28"/>
        </w:rPr>
        <w:t>并及时向甲方发表顾问意见；</w:t>
      </w:r>
    </w:p>
    <w:p w14:paraId="5E4120A7">
      <w:pPr>
        <w:spacing w:line="360" w:lineRule="auto"/>
        <w:ind w:firstLine="560"/>
        <w:rPr>
          <w:rFonts w:ascii="仿宋" w:hAnsi="仿宋" w:eastAsia="仿宋"/>
          <w:szCs w:val="28"/>
        </w:rPr>
      </w:pPr>
      <w:r>
        <w:rPr>
          <w:rFonts w:hint="eastAsia" w:ascii="仿宋" w:hAnsi="仿宋" w:eastAsia="仿宋"/>
          <w:szCs w:val="28"/>
        </w:rPr>
        <w:t>9.2 乙方指派担任法律顾问的律师，如因工作变动、调动等原因不能执行职务时，乙方应及时另派律师接替，并以书面形式通知甲方；</w:t>
      </w:r>
    </w:p>
    <w:p w14:paraId="038E9B1C">
      <w:pPr>
        <w:spacing w:line="360" w:lineRule="auto"/>
        <w:ind w:firstLine="560"/>
        <w:rPr>
          <w:rFonts w:ascii="仿宋" w:hAnsi="仿宋" w:eastAsia="仿宋" w:cs="Arial"/>
          <w:color w:val="000000"/>
          <w:kern w:val="0"/>
          <w:szCs w:val="28"/>
        </w:rPr>
      </w:pPr>
      <w:r>
        <w:rPr>
          <w:rFonts w:hint="eastAsia" w:ascii="仿宋" w:hAnsi="仿宋" w:eastAsia="仿宋"/>
          <w:szCs w:val="28"/>
        </w:rPr>
        <w:t>9.</w:t>
      </w:r>
      <w:bookmarkStart w:id="19" w:name="#370729"/>
      <w:bookmarkEnd w:id="19"/>
      <w:r>
        <w:rPr>
          <w:rFonts w:hint="eastAsia" w:ascii="仿宋" w:hAnsi="仿宋" w:eastAsia="仿宋"/>
          <w:szCs w:val="28"/>
        </w:rPr>
        <w:t xml:space="preserve">3 </w:t>
      </w:r>
      <w:r>
        <w:rPr>
          <w:rFonts w:hint="eastAsia" w:ascii="仿宋" w:hAnsi="仿宋" w:eastAsia="仿宋" w:cs="Arial"/>
          <w:color w:val="000000"/>
          <w:kern w:val="0"/>
          <w:szCs w:val="28"/>
        </w:rPr>
        <w:t>乙方律师必须遵守职业道德和执业纪律；</w:t>
      </w:r>
    </w:p>
    <w:p w14:paraId="10E13EFE">
      <w:pPr>
        <w:widowControl/>
        <w:spacing w:line="360" w:lineRule="auto"/>
        <w:ind w:firstLine="560"/>
        <w:rPr>
          <w:rFonts w:ascii="仿宋" w:hAnsi="仿宋" w:eastAsia="仿宋" w:cs="Arial"/>
          <w:color w:val="000000"/>
          <w:kern w:val="0"/>
          <w:szCs w:val="28"/>
        </w:rPr>
      </w:pPr>
      <w:bookmarkStart w:id="20" w:name="#370730"/>
      <w:bookmarkEnd w:id="20"/>
      <w:r>
        <w:rPr>
          <w:rFonts w:hint="eastAsia" w:ascii="仿宋" w:hAnsi="仿宋" w:eastAsia="仿宋"/>
          <w:szCs w:val="28"/>
        </w:rPr>
        <w:t>9.</w:t>
      </w:r>
      <w:r>
        <w:rPr>
          <w:rFonts w:hint="eastAsia" w:ascii="仿宋" w:hAnsi="仿宋" w:eastAsia="仿宋" w:cs="Arial"/>
          <w:color w:val="000000"/>
          <w:kern w:val="0"/>
          <w:szCs w:val="28"/>
        </w:rPr>
        <w:t>4 乙方律师应当勤勉尽职，依法在本合同约定范围内维护甲方的利益；</w:t>
      </w:r>
    </w:p>
    <w:p w14:paraId="2C3A4422">
      <w:pPr>
        <w:widowControl/>
        <w:spacing w:line="360" w:lineRule="auto"/>
        <w:ind w:firstLine="560"/>
        <w:rPr>
          <w:rFonts w:ascii="仿宋" w:hAnsi="仿宋" w:eastAsia="仿宋" w:cs="Arial"/>
          <w:color w:val="000000"/>
          <w:kern w:val="0"/>
          <w:szCs w:val="28"/>
        </w:rPr>
      </w:pPr>
      <w:bookmarkStart w:id="21" w:name="#370731"/>
      <w:bookmarkEnd w:id="21"/>
      <w:r>
        <w:rPr>
          <w:rFonts w:hint="eastAsia" w:ascii="仿宋" w:hAnsi="仿宋" w:eastAsia="仿宋"/>
          <w:szCs w:val="28"/>
        </w:rPr>
        <w:t>9.</w:t>
      </w:r>
      <w:r>
        <w:rPr>
          <w:rFonts w:hint="eastAsia" w:ascii="仿宋" w:hAnsi="仿宋" w:eastAsia="仿宋" w:cs="Arial"/>
          <w:color w:val="000000"/>
          <w:kern w:val="0"/>
          <w:szCs w:val="28"/>
        </w:rPr>
        <w:t>5 乙方律师无权超越甲方授权行事。如果确有需要，应当由甲方另行给予明确的授权；</w:t>
      </w:r>
    </w:p>
    <w:p w14:paraId="5254861F">
      <w:pPr>
        <w:widowControl/>
        <w:spacing w:line="360" w:lineRule="auto"/>
        <w:ind w:firstLine="560"/>
        <w:rPr>
          <w:rFonts w:ascii="仿宋" w:hAnsi="仿宋" w:eastAsia="仿宋" w:cs="Arial"/>
          <w:color w:val="000000"/>
          <w:kern w:val="0"/>
          <w:szCs w:val="28"/>
        </w:rPr>
      </w:pPr>
      <w:bookmarkStart w:id="22" w:name="#370733"/>
      <w:bookmarkEnd w:id="22"/>
      <w:r>
        <w:rPr>
          <w:rFonts w:hint="eastAsia" w:ascii="仿宋" w:hAnsi="仿宋" w:eastAsia="仿宋"/>
          <w:szCs w:val="28"/>
        </w:rPr>
        <w:t>9.</w:t>
      </w:r>
      <w:r>
        <w:rPr>
          <w:rFonts w:hint="eastAsia" w:ascii="仿宋" w:hAnsi="仿宋" w:eastAsia="仿宋" w:cs="Arial"/>
          <w:color w:val="000000"/>
          <w:kern w:val="0"/>
          <w:szCs w:val="28"/>
        </w:rPr>
        <w:t>6 按双方事先约定的工作时间、地点及时办理甲方委托的各项事宜，确保服务质量，若确遇特殊情况，应提前通知甲方并共同商量解决措施；</w:t>
      </w:r>
    </w:p>
    <w:p w14:paraId="0FAA2ED4">
      <w:pPr>
        <w:widowControl/>
        <w:spacing w:line="360" w:lineRule="auto"/>
        <w:ind w:firstLine="560"/>
        <w:rPr>
          <w:rFonts w:ascii="仿宋" w:hAnsi="仿宋" w:eastAsia="仿宋" w:cs="Arial"/>
          <w:color w:val="000000"/>
          <w:kern w:val="0"/>
          <w:szCs w:val="28"/>
        </w:rPr>
      </w:pPr>
      <w:bookmarkStart w:id="23" w:name="#370734"/>
      <w:bookmarkEnd w:id="23"/>
      <w:r>
        <w:rPr>
          <w:rFonts w:hint="eastAsia" w:ascii="仿宋" w:hAnsi="仿宋" w:eastAsia="仿宋"/>
          <w:szCs w:val="28"/>
        </w:rPr>
        <w:t>9.</w:t>
      </w:r>
      <w:r>
        <w:rPr>
          <w:rFonts w:hint="eastAsia" w:ascii="仿宋" w:hAnsi="仿宋" w:eastAsia="仿宋" w:cs="Arial"/>
          <w:color w:val="000000"/>
          <w:kern w:val="0"/>
          <w:szCs w:val="28"/>
        </w:rPr>
        <w:t>7 审查修改甲方提交的合同等文本后，应尽量向甲方提供电子版本，并通过电子邮件发送给甲方；</w:t>
      </w:r>
    </w:p>
    <w:p w14:paraId="0ED32D25">
      <w:pPr>
        <w:widowControl/>
        <w:spacing w:line="360" w:lineRule="auto"/>
        <w:ind w:firstLine="560"/>
        <w:rPr>
          <w:rFonts w:ascii="仿宋" w:hAnsi="仿宋" w:eastAsia="仿宋" w:cs="Arial"/>
          <w:color w:val="000000"/>
          <w:kern w:val="0"/>
          <w:szCs w:val="28"/>
        </w:rPr>
      </w:pPr>
      <w:bookmarkStart w:id="24" w:name="#370735"/>
      <w:bookmarkEnd w:id="24"/>
      <w:r>
        <w:rPr>
          <w:rFonts w:hint="eastAsia" w:ascii="仿宋" w:hAnsi="仿宋" w:eastAsia="仿宋"/>
          <w:szCs w:val="28"/>
        </w:rPr>
        <w:t>9.</w:t>
      </w:r>
      <w:r>
        <w:rPr>
          <w:rFonts w:hint="eastAsia" w:ascii="仿宋" w:hAnsi="仿宋" w:eastAsia="仿宋" w:cs="Arial"/>
          <w:color w:val="000000"/>
          <w:kern w:val="0"/>
          <w:szCs w:val="28"/>
        </w:rPr>
        <w:t>8 乙方或律师变更联系信息的，应当及时通知甲方；</w:t>
      </w:r>
    </w:p>
    <w:p w14:paraId="5677ABC6">
      <w:pPr>
        <w:widowControl/>
        <w:spacing w:line="360" w:lineRule="auto"/>
        <w:ind w:firstLine="560"/>
        <w:rPr>
          <w:rFonts w:ascii="仿宋" w:hAnsi="仿宋" w:eastAsia="仿宋" w:cs="Arial"/>
          <w:color w:val="000000"/>
          <w:kern w:val="0"/>
          <w:szCs w:val="28"/>
        </w:rPr>
      </w:pPr>
      <w:bookmarkStart w:id="25" w:name="#370736"/>
      <w:bookmarkEnd w:id="25"/>
      <w:r>
        <w:rPr>
          <w:rFonts w:hint="eastAsia" w:ascii="仿宋" w:hAnsi="仿宋" w:eastAsia="仿宋"/>
          <w:szCs w:val="28"/>
        </w:rPr>
        <w:t>9.</w:t>
      </w:r>
      <w:r>
        <w:rPr>
          <w:rFonts w:hint="eastAsia" w:ascii="仿宋" w:hAnsi="仿宋" w:eastAsia="仿宋" w:cs="Arial"/>
          <w:color w:val="000000"/>
          <w:kern w:val="0"/>
          <w:szCs w:val="28"/>
        </w:rPr>
        <w:t>9 严守在受托提供各项法律服务过程中所知悉的甲方生产经营等方面的商业秘密和知识产权，绝不利用和对外泄露，否则应承担由此引起的一切法律责任；</w:t>
      </w:r>
    </w:p>
    <w:p w14:paraId="4805A1C5">
      <w:pPr>
        <w:widowControl/>
        <w:spacing w:line="360" w:lineRule="auto"/>
        <w:ind w:firstLine="560"/>
        <w:rPr>
          <w:rFonts w:ascii="仿宋" w:hAnsi="仿宋" w:eastAsia="仿宋" w:cs="Arial"/>
          <w:color w:val="000000"/>
          <w:kern w:val="0"/>
          <w:szCs w:val="28"/>
        </w:rPr>
      </w:pPr>
      <w:bookmarkStart w:id="26" w:name="#370737"/>
      <w:bookmarkEnd w:id="26"/>
      <w:r>
        <w:rPr>
          <w:rFonts w:hint="eastAsia" w:ascii="仿宋" w:hAnsi="仿宋" w:eastAsia="仿宋"/>
          <w:szCs w:val="28"/>
        </w:rPr>
        <w:t>9.</w:t>
      </w:r>
      <w:r>
        <w:rPr>
          <w:rFonts w:hint="eastAsia" w:ascii="仿宋" w:hAnsi="仿宋" w:eastAsia="仿宋" w:cs="Arial"/>
          <w:color w:val="000000"/>
          <w:kern w:val="0"/>
          <w:szCs w:val="28"/>
        </w:rPr>
        <w:t>10 可以指派业务助理人员配合完成辅助工作，但乙方更换律师，应取得甲方书面认可；</w:t>
      </w:r>
    </w:p>
    <w:p w14:paraId="1B1BF06A">
      <w:pPr>
        <w:widowControl/>
        <w:spacing w:line="360" w:lineRule="auto"/>
        <w:ind w:firstLine="560"/>
        <w:rPr>
          <w:rFonts w:ascii="仿宋" w:hAnsi="仿宋" w:eastAsia="仿宋" w:cs="Arial"/>
          <w:color w:val="000000"/>
          <w:kern w:val="0"/>
          <w:szCs w:val="28"/>
        </w:rPr>
      </w:pPr>
      <w:bookmarkStart w:id="27" w:name="#370738"/>
      <w:bookmarkEnd w:id="27"/>
      <w:r>
        <w:rPr>
          <w:rFonts w:hint="eastAsia" w:ascii="仿宋" w:hAnsi="仿宋" w:eastAsia="仿宋"/>
          <w:szCs w:val="28"/>
        </w:rPr>
        <w:t>9.</w:t>
      </w:r>
      <w:r>
        <w:rPr>
          <w:rFonts w:hint="eastAsia" w:ascii="仿宋" w:hAnsi="仿宋" w:eastAsia="仿宋" w:cs="Arial"/>
          <w:color w:val="000000"/>
          <w:kern w:val="0"/>
          <w:szCs w:val="28"/>
        </w:rPr>
        <w:t>11 乙方律师有权查阅与承办法律事务有关的文件和资料，了解甲方有关业务情况，</w:t>
      </w:r>
      <w:bookmarkStart w:id="28" w:name="#370740"/>
      <w:bookmarkEnd w:id="28"/>
      <w:r>
        <w:rPr>
          <w:rFonts w:hint="eastAsia" w:ascii="仿宋" w:hAnsi="仿宋" w:eastAsia="仿宋" w:cs="Arial"/>
          <w:color w:val="000000"/>
          <w:kern w:val="0"/>
          <w:szCs w:val="28"/>
        </w:rPr>
        <w:t>列席甲方相关会议；</w:t>
      </w:r>
    </w:p>
    <w:p w14:paraId="19E2D0ED">
      <w:pPr>
        <w:widowControl/>
        <w:spacing w:line="360" w:lineRule="auto"/>
        <w:ind w:firstLine="560"/>
        <w:rPr>
          <w:rFonts w:ascii="仿宋" w:hAnsi="仿宋" w:eastAsia="仿宋" w:cs="Arial"/>
          <w:color w:val="000000"/>
          <w:kern w:val="0"/>
          <w:szCs w:val="28"/>
        </w:rPr>
      </w:pPr>
      <w:bookmarkStart w:id="29" w:name="#370741"/>
      <w:bookmarkEnd w:id="29"/>
      <w:r>
        <w:rPr>
          <w:rFonts w:hint="eastAsia" w:ascii="仿宋" w:hAnsi="仿宋" w:eastAsia="仿宋"/>
          <w:szCs w:val="28"/>
        </w:rPr>
        <w:t>9.</w:t>
      </w:r>
      <w:r>
        <w:rPr>
          <w:rFonts w:hint="eastAsia" w:ascii="仿宋" w:hAnsi="仿宋" w:eastAsia="仿宋" w:cs="Arial"/>
          <w:color w:val="000000"/>
          <w:kern w:val="0"/>
          <w:szCs w:val="28"/>
        </w:rPr>
        <w:t>12 乙方律师有权获得履行法律服务职责所必需的办公、交通及其他工作条件和便利；</w:t>
      </w:r>
    </w:p>
    <w:p w14:paraId="2D75D357">
      <w:pPr>
        <w:widowControl/>
        <w:spacing w:line="360" w:lineRule="auto"/>
        <w:ind w:firstLine="560"/>
        <w:rPr>
          <w:rFonts w:ascii="仿宋" w:hAnsi="仿宋" w:eastAsia="仿宋" w:cs="Arial"/>
          <w:color w:val="000000"/>
          <w:kern w:val="0"/>
          <w:szCs w:val="28"/>
        </w:rPr>
      </w:pPr>
      <w:bookmarkStart w:id="30" w:name="#370742"/>
      <w:bookmarkEnd w:id="30"/>
      <w:bookmarkStart w:id="31" w:name="#370743"/>
      <w:bookmarkEnd w:id="31"/>
      <w:r>
        <w:rPr>
          <w:rFonts w:hint="eastAsia" w:ascii="仿宋" w:hAnsi="仿宋" w:eastAsia="仿宋"/>
          <w:szCs w:val="28"/>
        </w:rPr>
        <w:t>9.</w:t>
      </w:r>
      <w:r>
        <w:rPr>
          <w:rFonts w:hint="eastAsia" w:ascii="仿宋" w:hAnsi="仿宋" w:eastAsia="仿宋" w:cs="Arial"/>
          <w:color w:val="000000"/>
          <w:kern w:val="0"/>
          <w:szCs w:val="28"/>
        </w:rPr>
        <w:t>13 乙方和律师均无权利和义务代理甲方处理本合同约定的常年法律顾问服务范围以外的其他法律事务。甲方如确需乙方和律师提供有关其他法律事务的服务的，应当与乙方另行签订法律服务委托合同；</w:t>
      </w:r>
    </w:p>
    <w:p w14:paraId="1C396FC6">
      <w:pPr>
        <w:widowControl/>
        <w:spacing w:line="360" w:lineRule="auto"/>
        <w:ind w:firstLine="560"/>
        <w:rPr>
          <w:rFonts w:ascii="仿宋" w:hAnsi="仿宋" w:eastAsia="仿宋" w:cs="Arial"/>
          <w:color w:val="000000"/>
          <w:kern w:val="0"/>
          <w:szCs w:val="28"/>
        </w:rPr>
      </w:pPr>
      <w:bookmarkStart w:id="32" w:name="#370744"/>
      <w:bookmarkEnd w:id="32"/>
      <w:r>
        <w:rPr>
          <w:rFonts w:hint="eastAsia" w:ascii="仿宋" w:hAnsi="仿宋" w:eastAsia="仿宋"/>
          <w:szCs w:val="28"/>
        </w:rPr>
        <w:t>9.</w:t>
      </w:r>
      <w:r>
        <w:rPr>
          <w:rFonts w:hint="eastAsia" w:ascii="仿宋" w:hAnsi="仿宋" w:eastAsia="仿宋" w:cs="Arial"/>
          <w:color w:val="000000"/>
          <w:kern w:val="0"/>
          <w:szCs w:val="28"/>
        </w:rPr>
        <w:t>14 乙方及其指派的顾问律师，有权拒绝聘方要求为其违法行为及违背事实、违背律师职业道德等的事项提供服务，有权拒绝任何单位、个人的非法干预；</w:t>
      </w:r>
    </w:p>
    <w:p w14:paraId="6281B720">
      <w:pPr>
        <w:widowControl/>
        <w:spacing w:line="360" w:lineRule="auto"/>
        <w:ind w:firstLine="560"/>
        <w:rPr>
          <w:rFonts w:ascii="仿宋" w:hAnsi="仿宋" w:eastAsia="仿宋" w:cs="Arial"/>
          <w:color w:val="000000"/>
          <w:kern w:val="0"/>
          <w:szCs w:val="28"/>
        </w:rPr>
      </w:pPr>
      <w:bookmarkStart w:id="33" w:name="#370745"/>
      <w:bookmarkEnd w:id="33"/>
      <w:r>
        <w:rPr>
          <w:rFonts w:hint="eastAsia" w:ascii="仿宋" w:hAnsi="仿宋" w:eastAsia="仿宋"/>
          <w:szCs w:val="28"/>
        </w:rPr>
        <w:t>9.</w:t>
      </w:r>
      <w:r>
        <w:rPr>
          <w:rFonts w:hint="eastAsia" w:ascii="仿宋" w:hAnsi="仿宋" w:eastAsia="仿宋" w:cs="Arial"/>
          <w:color w:val="000000"/>
          <w:kern w:val="0"/>
          <w:szCs w:val="28"/>
        </w:rPr>
        <w:t>15 受聘律师因故不能履行甲方法律顾问职责时，乙方应当与甲方协商，另行指派律师接替；</w:t>
      </w:r>
    </w:p>
    <w:p w14:paraId="255B294F">
      <w:pPr>
        <w:spacing w:line="360" w:lineRule="auto"/>
        <w:ind w:firstLine="560"/>
        <w:rPr>
          <w:rFonts w:ascii="仿宋" w:hAnsi="仿宋" w:eastAsia="仿宋"/>
          <w:szCs w:val="28"/>
        </w:rPr>
      </w:pPr>
      <w:r>
        <w:rPr>
          <w:rFonts w:hint="eastAsia" w:ascii="仿宋" w:hAnsi="仿宋" w:eastAsia="仿宋"/>
          <w:szCs w:val="28"/>
        </w:rPr>
        <w:t>9.</w:t>
      </w:r>
      <w:r>
        <w:rPr>
          <w:rFonts w:hint="eastAsia" w:ascii="仿宋" w:hAnsi="仿宋" w:eastAsia="仿宋" w:cs="Arial"/>
          <w:color w:val="000000"/>
          <w:kern w:val="0"/>
          <w:szCs w:val="28"/>
        </w:rPr>
        <w:t xml:space="preserve">16 </w:t>
      </w:r>
      <w:r>
        <w:rPr>
          <w:rFonts w:hint="eastAsia" w:ascii="仿宋" w:hAnsi="仿宋" w:eastAsia="仿宋"/>
          <w:szCs w:val="28"/>
        </w:rPr>
        <w:t>乙方对甲方违反法律、政策之委托，有权不予接受，并不构成违约；</w:t>
      </w:r>
    </w:p>
    <w:p w14:paraId="354C77A5">
      <w:pPr>
        <w:widowControl/>
        <w:spacing w:line="360" w:lineRule="auto"/>
        <w:ind w:firstLine="560"/>
        <w:rPr>
          <w:rFonts w:ascii="仿宋" w:hAnsi="仿宋" w:eastAsia="仿宋" w:cs="Arial"/>
          <w:color w:val="000000"/>
          <w:kern w:val="0"/>
          <w:szCs w:val="28"/>
        </w:rPr>
      </w:pPr>
      <w:bookmarkStart w:id="34" w:name="#370746"/>
      <w:bookmarkEnd w:id="34"/>
      <w:r>
        <w:rPr>
          <w:rFonts w:hint="eastAsia" w:ascii="仿宋" w:hAnsi="仿宋" w:eastAsia="仿宋"/>
          <w:szCs w:val="28"/>
        </w:rPr>
        <w:t>9.</w:t>
      </w:r>
      <w:r>
        <w:rPr>
          <w:rFonts w:hint="eastAsia" w:ascii="仿宋" w:hAnsi="仿宋" w:eastAsia="仿宋" w:cs="Arial"/>
          <w:color w:val="000000"/>
          <w:kern w:val="0"/>
          <w:szCs w:val="28"/>
        </w:rPr>
        <w:t>17 法律顾问的报酬，由乙方统一收取，指派律师不得直接从甲方收取任何报酬；</w:t>
      </w:r>
    </w:p>
    <w:p w14:paraId="5196B468">
      <w:pPr>
        <w:widowControl/>
        <w:spacing w:line="360" w:lineRule="auto"/>
        <w:ind w:firstLine="560"/>
        <w:rPr>
          <w:rFonts w:ascii="仿宋" w:hAnsi="仿宋" w:eastAsia="仿宋" w:cs="Arial"/>
          <w:color w:val="000000"/>
          <w:kern w:val="0"/>
          <w:szCs w:val="28"/>
        </w:rPr>
      </w:pPr>
      <w:bookmarkStart w:id="35" w:name="#370747"/>
      <w:bookmarkEnd w:id="35"/>
      <w:r>
        <w:rPr>
          <w:rFonts w:hint="eastAsia" w:ascii="仿宋" w:hAnsi="仿宋" w:eastAsia="仿宋"/>
          <w:szCs w:val="28"/>
        </w:rPr>
        <w:t>9.</w:t>
      </w:r>
      <w:r>
        <w:rPr>
          <w:rFonts w:hint="eastAsia" w:ascii="仿宋" w:hAnsi="仿宋" w:eastAsia="仿宋" w:cs="Arial"/>
          <w:color w:val="000000"/>
          <w:kern w:val="0"/>
          <w:szCs w:val="28"/>
        </w:rPr>
        <w:t>18 顾问律师应当建立为甲方服务的工作日记，原则上做到一次一记，一事一记。</w:t>
      </w:r>
    </w:p>
    <w:p w14:paraId="1D93CDDA">
      <w:pPr>
        <w:spacing w:line="360" w:lineRule="auto"/>
        <w:ind w:firstLine="560"/>
        <w:rPr>
          <w:rFonts w:ascii="仿宋" w:hAnsi="仿宋" w:eastAsia="仿宋"/>
          <w:szCs w:val="28"/>
        </w:rPr>
      </w:pPr>
      <w:r>
        <w:rPr>
          <w:rFonts w:hint="eastAsia" w:ascii="仿宋" w:hAnsi="仿宋" w:eastAsia="仿宋"/>
          <w:szCs w:val="28"/>
        </w:rPr>
        <w:t>10. 合同的解除、终止履行</w:t>
      </w:r>
    </w:p>
    <w:p w14:paraId="4A4CF664">
      <w:pPr>
        <w:widowControl/>
        <w:spacing w:line="360" w:lineRule="auto"/>
        <w:ind w:firstLine="560"/>
        <w:rPr>
          <w:rFonts w:ascii="仿宋" w:hAnsi="仿宋" w:eastAsia="仿宋" w:cs="Arial"/>
          <w:kern w:val="0"/>
          <w:szCs w:val="28"/>
        </w:rPr>
      </w:pPr>
      <w:bookmarkStart w:id="36" w:name="#370749"/>
      <w:bookmarkEnd w:id="36"/>
      <w:r>
        <w:rPr>
          <w:rFonts w:hint="eastAsia" w:ascii="仿宋" w:hAnsi="仿宋" w:eastAsia="仿宋"/>
          <w:szCs w:val="28"/>
        </w:rPr>
        <w:t>10.</w:t>
      </w:r>
      <w:r>
        <w:rPr>
          <w:rFonts w:hint="eastAsia" w:ascii="仿宋" w:hAnsi="仿宋" w:eastAsia="仿宋" w:cs="Arial"/>
          <w:color w:val="000000"/>
          <w:kern w:val="0"/>
          <w:szCs w:val="28"/>
        </w:rPr>
        <w:t>1</w:t>
      </w:r>
      <w:r>
        <w:rPr>
          <w:rFonts w:hint="eastAsia" w:ascii="仿宋" w:hAnsi="仿宋" w:eastAsia="仿宋" w:cs="Arial"/>
          <w:kern w:val="0"/>
          <w:szCs w:val="28"/>
        </w:rPr>
        <w:t xml:space="preserve"> 除本合同第8.11条约定的解除情形，经书面通知，甲方有权随时以任何理由解除本合同，该解除通知在乙方收到之日生效。一旦收到解除通知，乙方和律师立即停止提供法律顾问服务，</w:t>
      </w:r>
      <w:r>
        <w:rPr>
          <w:rFonts w:hint="eastAsia" w:ascii="仿宋" w:hAnsi="仿宋" w:eastAsia="仿宋"/>
          <w:szCs w:val="28"/>
        </w:rPr>
        <w:t>律师费双方根据乙方提供服务的时间据实结算</w:t>
      </w:r>
      <w:r>
        <w:rPr>
          <w:rFonts w:hint="eastAsia" w:ascii="仿宋" w:hAnsi="仿宋" w:eastAsia="仿宋" w:cs="Arial"/>
          <w:kern w:val="0"/>
          <w:szCs w:val="28"/>
        </w:rPr>
        <w:t>；</w:t>
      </w:r>
    </w:p>
    <w:p w14:paraId="05953E23">
      <w:pPr>
        <w:widowControl/>
        <w:spacing w:line="360" w:lineRule="auto"/>
        <w:ind w:firstLine="560"/>
        <w:rPr>
          <w:rFonts w:ascii="仿宋" w:hAnsi="仿宋" w:eastAsia="仿宋" w:cs="Arial"/>
          <w:kern w:val="0"/>
          <w:szCs w:val="28"/>
        </w:rPr>
      </w:pPr>
      <w:bookmarkStart w:id="37" w:name="#370750"/>
      <w:bookmarkEnd w:id="37"/>
      <w:r>
        <w:rPr>
          <w:rFonts w:hint="eastAsia" w:ascii="仿宋" w:hAnsi="仿宋" w:eastAsia="仿宋"/>
          <w:szCs w:val="28"/>
        </w:rPr>
        <w:t>10.</w:t>
      </w:r>
      <w:r>
        <w:rPr>
          <w:rFonts w:hint="eastAsia" w:ascii="仿宋" w:hAnsi="仿宋" w:eastAsia="仿宋" w:cs="Arial"/>
          <w:kern w:val="0"/>
          <w:szCs w:val="28"/>
        </w:rPr>
        <w:t>2 如果甲方未按照本协议约定支付法律顾问费和其他费用且延期超过90日的，乙方有权解除本合同，但应书面通知甲方，</w:t>
      </w:r>
      <w:r>
        <w:rPr>
          <w:rFonts w:hint="eastAsia" w:ascii="仿宋" w:hAnsi="仿宋" w:eastAsia="仿宋"/>
          <w:szCs w:val="28"/>
        </w:rPr>
        <w:t>律师费双方根据乙方提供服务的时间据实结算</w:t>
      </w:r>
      <w:r>
        <w:rPr>
          <w:rFonts w:hint="eastAsia" w:ascii="仿宋" w:hAnsi="仿宋" w:eastAsia="仿宋" w:cs="Arial"/>
          <w:kern w:val="0"/>
          <w:szCs w:val="28"/>
        </w:rPr>
        <w:t>；</w:t>
      </w:r>
    </w:p>
    <w:p w14:paraId="497D7618">
      <w:pPr>
        <w:widowControl/>
        <w:spacing w:line="360" w:lineRule="auto"/>
        <w:ind w:firstLine="560"/>
        <w:rPr>
          <w:rFonts w:ascii="仿宋" w:hAnsi="仿宋" w:eastAsia="仿宋" w:cs="Arial"/>
          <w:color w:val="000000"/>
          <w:kern w:val="0"/>
          <w:szCs w:val="28"/>
        </w:rPr>
      </w:pPr>
      <w:bookmarkStart w:id="38" w:name="#370751"/>
      <w:bookmarkEnd w:id="38"/>
      <w:r>
        <w:rPr>
          <w:rFonts w:hint="eastAsia" w:ascii="仿宋" w:hAnsi="仿宋" w:eastAsia="仿宋"/>
          <w:szCs w:val="28"/>
        </w:rPr>
        <w:t>10.</w:t>
      </w:r>
      <w:r>
        <w:rPr>
          <w:rFonts w:hint="eastAsia" w:ascii="仿宋" w:hAnsi="仿宋" w:eastAsia="仿宋" w:cs="Arial"/>
          <w:color w:val="000000"/>
          <w:kern w:val="0"/>
          <w:szCs w:val="28"/>
        </w:rPr>
        <w:t>3 若甲方要求达到的目标有违律师职业道德和执业纪律的规定，则乙方有权随时终止向甲方提供法律服务，但应书面通知甲方；</w:t>
      </w:r>
    </w:p>
    <w:p w14:paraId="6D284517">
      <w:pPr>
        <w:widowControl/>
        <w:spacing w:line="360" w:lineRule="auto"/>
        <w:ind w:firstLine="560"/>
        <w:rPr>
          <w:rFonts w:ascii="仿宋" w:hAnsi="仿宋" w:eastAsia="仿宋" w:cs="Arial"/>
          <w:color w:val="000000"/>
          <w:kern w:val="0"/>
          <w:szCs w:val="28"/>
        </w:rPr>
      </w:pPr>
      <w:bookmarkStart w:id="39" w:name="#370752"/>
      <w:bookmarkEnd w:id="39"/>
      <w:r>
        <w:rPr>
          <w:rFonts w:hint="eastAsia" w:ascii="仿宋" w:hAnsi="仿宋" w:eastAsia="仿宋"/>
          <w:szCs w:val="28"/>
        </w:rPr>
        <w:t>10.</w:t>
      </w:r>
      <w:r>
        <w:rPr>
          <w:rFonts w:hint="eastAsia" w:ascii="仿宋" w:hAnsi="仿宋" w:eastAsia="仿宋" w:cs="Arial"/>
          <w:color w:val="000000"/>
          <w:kern w:val="0"/>
          <w:szCs w:val="28"/>
        </w:rPr>
        <w:t>4 合同期限届满，甲乙双方不再续签本合同；</w:t>
      </w:r>
    </w:p>
    <w:p w14:paraId="3CEF8369">
      <w:pPr>
        <w:widowControl/>
        <w:spacing w:line="360" w:lineRule="auto"/>
        <w:ind w:firstLine="560"/>
        <w:rPr>
          <w:rFonts w:ascii="仿宋" w:hAnsi="仿宋" w:eastAsia="仿宋" w:cs="Arial"/>
          <w:color w:val="000000"/>
          <w:kern w:val="0"/>
          <w:szCs w:val="28"/>
        </w:rPr>
      </w:pPr>
      <w:bookmarkStart w:id="40" w:name="#370753"/>
      <w:bookmarkEnd w:id="40"/>
      <w:r>
        <w:rPr>
          <w:rFonts w:hint="eastAsia" w:ascii="仿宋" w:hAnsi="仿宋" w:eastAsia="仿宋"/>
          <w:szCs w:val="28"/>
        </w:rPr>
        <w:t>10.</w:t>
      </w:r>
      <w:r>
        <w:rPr>
          <w:rFonts w:hint="eastAsia" w:ascii="仿宋" w:hAnsi="仿宋" w:eastAsia="仿宋" w:cs="Arial"/>
          <w:color w:val="000000"/>
          <w:kern w:val="0"/>
          <w:szCs w:val="28"/>
        </w:rPr>
        <w:t>5 甲乙双方通过书面协议解除本合同；</w:t>
      </w:r>
    </w:p>
    <w:p w14:paraId="4B9116F4">
      <w:pPr>
        <w:widowControl/>
        <w:spacing w:line="360" w:lineRule="auto"/>
        <w:ind w:firstLine="560"/>
        <w:rPr>
          <w:rFonts w:ascii="仿宋" w:hAnsi="仿宋" w:eastAsia="仿宋" w:cs="Arial"/>
          <w:color w:val="000000"/>
          <w:kern w:val="0"/>
          <w:szCs w:val="28"/>
        </w:rPr>
      </w:pPr>
      <w:bookmarkStart w:id="41" w:name="#370754"/>
      <w:bookmarkEnd w:id="41"/>
      <w:r>
        <w:rPr>
          <w:rFonts w:hint="eastAsia" w:ascii="仿宋" w:hAnsi="仿宋" w:eastAsia="仿宋"/>
          <w:szCs w:val="28"/>
        </w:rPr>
        <w:t>10.</w:t>
      </w:r>
      <w:r>
        <w:rPr>
          <w:rFonts w:hint="eastAsia" w:ascii="仿宋" w:hAnsi="仿宋" w:eastAsia="仿宋" w:cs="Arial"/>
          <w:color w:val="000000"/>
          <w:kern w:val="0"/>
          <w:szCs w:val="28"/>
        </w:rPr>
        <w:t>6 因不可抗力致使合同目的不能实现的；</w:t>
      </w:r>
    </w:p>
    <w:p w14:paraId="182A773E">
      <w:pPr>
        <w:widowControl/>
        <w:spacing w:line="360" w:lineRule="auto"/>
        <w:ind w:firstLine="560"/>
        <w:rPr>
          <w:rFonts w:ascii="仿宋" w:hAnsi="仿宋" w:eastAsia="仿宋" w:cs="Arial"/>
          <w:color w:val="000000"/>
          <w:kern w:val="0"/>
          <w:szCs w:val="28"/>
        </w:rPr>
      </w:pPr>
      <w:bookmarkStart w:id="42" w:name="#370755"/>
      <w:bookmarkEnd w:id="42"/>
      <w:r>
        <w:rPr>
          <w:rFonts w:hint="eastAsia" w:ascii="仿宋" w:hAnsi="仿宋" w:eastAsia="仿宋"/>
          <w:szCs w:val="28"/>
        </w:rPr>
        <w:t>10.</w:t>
      </w:r>
      <w:r>
        <w:rPr>
          <w:rFonts w:hint="eastAsia" w:ascii="仿宋" w:hAnsi="仿宋" w:eastAsia="仿宋" w:cs="Arial"/>
          <w:color w:val="000000"/>
          <w:kern w:val="0"/>
          <w:szCs w:val="28"/>
        </w:rPr>
        <w:t>7 本合同因上列第1、2项情形而解除时，乙方已收取的法律顾问费不予退还，甲方欠付的应予以补足约定数额；因上列第3项情形而解除时，乙方不退还尚未服务时间部分的法律顾问费。</w:t>
      </w:r>
    </w:p>
    <w:p w14:paraId="302D4EE1">
      <w:pPr>
        <w:spacing w:line="360" w:lineRule="auto"/>
        <w:ind w:firstLine="560"/>
        <w:rPr>
          <w:rFonts w:ascii="仿宋" w:hAnsi="仿宋" w:eastAsia="仿宋"/>
          <w:szCs w:val="28"/>
        </w:rPr>
      </w:pPr>
      <w:bookmarkStart w:id="43" w:name="#370756"/>
      <w:bookmarkEnd w:id="43"/>
      <w:r>
        <w:rPr>
          <w:rFonts w:hint="eastAsia" w:ascii="仿宋" w:hAnsi="仿宋" w:eastAsia="仿宋"/>
          <w:szCs w:val="28"/>
        </w:rPr>
        <w:t>11.  合同的变更</w:t>
      </w:r>
    </w:p>
    <w:p w14:paraId="5537E0E8">
      <w:pPr>
        <w:widowControl/>
        <w:spacing w:line="360" w:lineRule="auto"/>
        <w:ind w:firstLine="560"/>
        <w:rPr>
          <w:rFonts w:ascii="仿宋" w:hAnsi="仿宋" w:eastAsia="仿宋" w:cs="Arial"/>
          <w:color w:val="000000"/>
          <w:kern w:val="0"/>
          <w:szCs w:val="28"/>
        </w:rPr>
      </w:pPr>
      <w:bookmarkStart w:id="44" w:name="#370761"/>
      <w:bookmarkEnd w:id="44"/>
      <w:r>
        <w:rPr>
          <w:rFonts w:hint="eastAsia" w:ascii="仿宋" w:hAnsi="仿宋" w:eastAsia="仿宋"/>
          <w:szCs w:val="28"/>
        </w:rPr>
        <w:t xml:space="preserve">11.1 </w:t>
      </w:r>
      <w:r>
        <w:rPr>
          <w:rFonts w:hint="eastAsia" w:ascii="仿宋" w:hAnsi="仿宋" w:eastAsia="仿宋" w:cs="Arial"/>
          <w:color w:val="000000"/>
          <w:kern w:val="0"/>
          <w:szCs w:val="28"/>
        </w:rPr>
        <w:t>本合同履行期间，发生特殊情况时，甲、乙任何一方需变更本合同的，要求变更一方应及时书面通知对方，征得对方同意后，双方在规定的时限内（书面通知发出10日内）签订书面变更协议，该协议将成为合同不可分割的部分。未经双方签署书面文件，任何一方无权变更本合同，否则，由此造成对方的经济损失，由责任方承担。</w:t>
      </w:r>
    </w:p>
    <w:p w14:paraId="5BBC15F2">
      <w:pPr>
        <w:spacing w:line="360" w:lineRule="auto"/>
        <w:ind w:firstLine="560"/>
        <w:rPr>
          <w:rFonts w:ascii="仿宋" w:hAnsi="仿宋" w:eastAsia="仿宋"/>
          <w:szCs w:val="28"/>
        </w:rPr>
      </w:pPr>
      <w:bookmarkStart w:id="45" w:name="#370762"/>
      <w:bookmarkEnd w:id="45"/>
      <w:r>
        <w:rPr>
          <w:rFonts w:hint="eastAsia" w:ascii="仿宋" w:hAnsi="仿宋" w:eastAsia="仿宋"/>
          <w:szCs w:val="28"/>
        </w:rPr>
        <w:t>12. 合同的转让</w:t>
      </w:r>
    </w:p>
    <w:p w14:paraId="59A2D3CF">
      <w:pPr>
        <w:widowControl/>
        <w:spacing w:line="360" w:lineRule="auto"/>
        <w:ind w:firstLine="560"/>
        <w:rPr>
          <w:rFonts w:ascii="仿宋" w:hAnsi="仿宋" w:eastAsia="仿宋" w:cs="Arial"/>
          <w:color w:val="000000"/>
          <w:kern w:val="0"/>
          <w:szCs w:val="28"/>
        </w:rPr>
      </w:pPr>
      <w:bookmarkStart w:id="46" w:name="#370763"/>
      <w:bookmarkEnd w:id="46"/>
      <w:r>
        <w:rPr>
          <w:rFonts w:hint="eastAsia" w:ascii="仿宋" w:hAnsi="仿宋" w:eastAsia="仿宋"/>
          <w:szCs w:val="28"/>
        </w:rPr>
        <w:t xml:space="preserve">12.1 </w:t>
      </w:r>
      <w:r>
        <w:rPr>
          <w:rFonts w:hint="eastAsia" w:ascii="仿宋" w:hAnsi="仿宋" w:eastAsia="仿宋" w:cs="Arial"/>
          <w:color w:val="000000"/>
          <w:kern w:val="0"/>
          <w:szCs w:val="28"/>
        </w:rPr>
        <w:t>除合同中另有约定或经双方协商同意外，本合同所约定双方的任何权利和义务，任何一方在未经征得另一方书面同意之前，不得转让给第三方。任何转让，未经另一方书面明确同意，均属无效。</w:t>
      </w:r>
    </w:p>
    <w:p w14:paraId="56A47F72">
      <w:pPr>
        <w:spacing w:line="360" w:lineRule="auto"/>
        <w:ind w:firstLine="560"/>
        <w:rPr>
          <w:rFonts w:ascii="仿宋" w:hAnsi="仿宋" w:eastAsia="仿宋"/>
          <w:szCs w:val="28"/>
        </w:rPr>
      </w:pPr>
      <w:r>
        <w:rPr>
          <w:rFonts w:hint="eastAsia" w:ascii="仿宋" w:hAnsi="仿宋" w:eastAsia="仿宋"/>
          <w:szCs w:val="28"/>
        </w:rPr>
        <w:t>13. 不可抗力</w:t>
      </w:r>
    </w:p>
    <w:p w14:paraId="7FBA0AAF">
      <w:pPr>
        <w:widowControl/>
        <w:spacing w:line="360" w:lineRule="auto"/>
        <w:ind w:firstLine="560"/>
        <w:rPr>
          <w:rFonts w:ascii="仿宋" w:hAnsi="仿宋" w:eastAsia="仿宋" w:cs="Arial"/>
          <w:color w:val="000000"/>
          <w:kern w:val="0"/>
          <w:szCs w:val="28"/>
        </w:rPr>
      </w:pPr>
      <w:bookmarkStart w:id="47" w:name="#370770"/>
      <w:bookmarkEnd w:id="47"/>
      <w:r>
        <w:rPr>
          <w:rFonts w:hint="eastAsia" w:ascii="仿宋" w:hAnsi="仿宋" w:eastAsia="仿宋"/>
          <w:szCs w:val="28"/>
        </w:rPr>
        <w:t>13.</w:t>
      </w:r>
      <w:r>
        <w:rPr>
          <w:rFonts w:hint="eastAsia" w:ascii="仿宋" w:hAnsi="仿宋" w:eastAsia="仿宋" w:cs="Arial"/>
          <w:color w:val="000000"/>
          <w:kern w:val="0"/>
          <w:szCs w:val="28"/>
        </w:rPr>
        <w:t>1如果本合同任何一方因受不可抗力事件影响而未能履行其在本合同下的全部或部分义务时，受到不可抗力事件影响的一方应尽可能在最短的时间内通过书面形式将不可抗力事件的发生通知另一方，并在该不可抗力事件发生后10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14:paraId="1F38C659">
      <w:pPr>
        <w:widowControl/>
        <w:spacing w:line="360" w:lineRule="auto"/>
        <w:ind w:firstLine="562"/>
        <w:rPr>
          <w:rFonts w:ascii="仿宋" w:hAnsi="仿宋" w:eastAsia="仿宋" w:cs="Arial"/>
          <w:b/>
          <w:bCs/>
          <w:color w:val="000000"/>
          <w:kern w:val="0"/>
          <w:szCs w:val="28"/>
        </w:rPr>
      </w:pPr>
      <w:r>
        <w:rPr>
          <w:rFonts w:hint="eastAsia" w:ascii="仿宋" w:hAnsi="仿宋" w:eastAsia="仿宋" w:cs="Arial"/>
          <w:b/>
          <w:bCs/>
          <w:color w:val="000000"/>
          <w:kern w:val="0"/>
          <w:szCs w:val="28"/>
        </w:rPr>
        <w:t>1</w:t>
      </w:r>
      <w:r>
        <w:rPr>
          <w:rFonts w:ascii="仿宋" w:hAnsi="仿宋" w:eastAsia="仿宋" w:cs="Arial"/>
          <w:b/>
          <w:bCs/>
          <w:color w:val="000000"/>
          <w:kern w:val="0"/>
          <w:szCs w:val="28"/>
        </w:rPr>
        <w:t>4.</w:t>
      </w:r>
      <w:r>
        <w:rPr>
          <w:rFonts w:hint="eastAsia" w:ascii="仿宋" w:hAnsi="仿宋" w:eastAsia="仿宋" w:cs="Arial"/>
          <w:b/>
          <w:bCs/>
          <w:color w:val="000000"/>
          <w:kern w:val="0"/>
          <w:szCs w:val="28"/>
        </w:rPr>
        <w:t>利益冲突</w:t>
      </w:r>
    </w:p>
    <w:p w14:paraId="601E1806">
      <w:pPr>
        <w:spacing w:line="360" w:lineRule="auto"/>
        <w:ind w:firstLine="560"/>
        <w:rPr>
          <w:rFonts w:ascii="仿宋" w:hAnsi="仿宋" w:eastAsia="仿宋" w:cs="Arial"/>
          <w:color w:val="000000"/>
          <w:kern w:val="0"/>
          <w:szCs w:val="28"/>
        </w:rPr>
      </w:pPr>
      <w:r>
        <w:rPr>
          <w:rFonts w:hint="eastAsia" w:ascii="仿宋" w:hAnsi="仿宋" w:eastAsia="仿宋" w:cs="Arial"/>
          <w:color w:val="000000"/>
          <w:kern w:val="0"/>
          <w:szCs w:val="28"/>
        </w:rPr>
        <w:t>甲方充分知晓：乙方是根据中国法律成立的合伙制律师事务所，在国内设有多家办公室。乙方已经在各业务团队、各办公室之间采取了业务隔离和防火墙措施。为避免本合同项下委托事项给乙方及其国内各办公室其他律师造成执业不便，甲方在此确认：除本案代理律师外，乙方及其国内办公室其他律师可以代理甲方对方当事人委托的、与本委托事项无关的、独立于本合同委托事项之外的诉讼及非诉讼案件。本合同其他条款内容与本条款不一致的，以本条款为准。</w:t>
      </w:r>
      <w:r>
        <w:rPr>
          <w:rFonts w:ascii="Calibri" w:hAnsi="Calibri" w:eastAsia="仿宋" w:cs="Calibri"/>
          <w:color w:val="000000"/>
          <w:kern w:val="0"/>
          <w:szCs w:val="28"/>
        </w:rPr>
        <w:t> </w:t>
      </w:r>
    </w:p>
    <w:p w14:paraId="7D8C9A42">
      <w:pPr>
        <w:spacing w:line="360" w:lineRule="auto"/>
        <w:ind w:firstLine="560"/>
        <w:rPr>
          <w:rFonts w:ascii="仿宋" w:hAnsi="仿宋" w:eastAsia="仿宋"/>
          <w:szCs w:val="28"/>
        </w:rPr>
      </w:pPr>
      <w:r>
        <w:rPr>
          <w:rFonts w:hint="eastAsia" w:ascii="仿宋" w:hAnsi="仿宋" w:eastAsia="仿宋"/>
          <w:szCs w:val="28"/>
        </w:rPr>
        <w:t>1</w:t>
      </w:r>
      <w:r>
        <w:rPr>
          <w:rFonts w:ascii="仿宋" w:hAnsi="仿宋" w:eastAsia="仿宋"/>
          <w:szCs w:val="28"/>
        </w:rPr>
        <w:t>5</w:t>
      </w:r>
      <w:r>
        <w:rPr>
          <w:rFonts w:hint="eastAsia" w:ascii="仿宋" w:hAnsi="仿宋" w:eastAsia="仿宋"/>
          <w:szCs w:val="28"/>
        </w:rPr>
        <w:t>. 通知</w:t>
      </w:r>
    </w:p>
    <w:p w14:paraId="1606CE64">
      <w:pPr>
        <w:widowControl/>
        <w:spacing w:line="360" w:lineRule="auto"/>
        <w:ind w:firstLine="560"/>
        <w:rPr>
          <w:rFonts w:ascii="仿宋" w:hAnsi="仿宋" w:eastAsia="仿宋" w:cs="Arial"/>
          <w:color w:val="000000"/>
          <w:kern w:val="0"/>
          <w:szCs w:val="28"/>
        </w:rPr>
      </w:pPr>
      <w:bookmarkStart w:id="48" w:name="#370757"/>
      <w:bookmarkEnd w:id="48"/>
      <w:r>
        <w:rPr>
          <w:rFonts w:hint="eastAsia" w:ascii="仿宋" w:hAnsi="仿宋" w:eastAsia="仿宋"/>
          <w:szCs w:val="28"/>
        </w:rPr>
        <w:t>1</w:t>
      </w:r>
      <w:r>
        <w:rPr>
          <w:rFonts w:ascii="仿宋" w:hAnsi="仿宋" w:eastAsia="仿宋"/>
          <w:szCs w:val="28"/>
        </w:rPr>
        <w:t>5</w:t>
      </w:r>
      <w:r>
        <w:rPr>
          <w:rFonts w:hint="eastAsia" w:ascii="仿宋" w:hAnsi="仿宋" w:eastAsia="仿宋"/>
          <w:szCs w:val="28"/>
        </w:rPr>
        <w:t>.</w:t>
      </w:r>
      <w:r>
        <w:rPr>
          <w:rFonts w:hint="eastAsia" w:ascii="仿宋" w:hAnsi="仿宋" w:eastAsia="仿宋" w:cs="Arial"/>
          <w:color w:val="000000"/>
          <w:kern w:val="0"/>
          <w:szCs w:val="28"/>
        </w:rPr>
        <w:t>1 根据本合同需要一方向另一方发出的全部通知以及双方的文件往来及与本合同有关的通知和要求等，必须用书面形式，可采用书信、传真、电子邮件、当面送交等方式传递。以上方式无法送达的，方可采取公告送达的方式。</w:t>
      </w:r>
    </w:p>
    <w:p w14:paraId="1E2881E9">
      <w:pPr>
        <w:spacing w:line="360" w:lineRule="auto"/>
        <w:ind w:firstLine="560"/>
        <w:rPr>
          <w:rFonts w:ascii="仿宋" w:hAnsi="仿宋" w:eastAsia="仿宋"/>
          <w:szCs w:val="28"/>
        </w:rPr>
      </w:pPr>
      <w:bookmarkStart w:id="49" w:name="#370758"/>
      <w:bookmarkEnd w:id="49"/>
      <w:r>
        <w:rPr>
          <w:rFonts w:hint="eastAsia" w:ascii="仿宋" w:hAnsi="仿宋" w:eastAsia="仿宋"/>
          <w:szCs w:val="28"/>
        </w:rPr>
        <w:t>1</w:t>
      </w:r>
      <w:r>
        <w:rPr>
          <w:rFonts w:ascii="仿宋" w:hAnsi="仿宋" w:eastAsia="仿宋"/>
          <w:szCs w:val="28"/>
        </w:rPr>
        <w:t>5</w:t>
      </w:r>
      <w:r>
        <w:rPr>
          <w:rFonts w:hint="eastAsia" w:ascii="仿宋" w:hAnsi="仿宋" w:eastAsia="仿宋"/>
          <w:szCs w:val="28"/>
        </w:rPr>
        <w:t>.</w:t>
      </w:r>
      <w:r>
        <w:rPr>
          <w:rFonts w:hint="eastAsia" w:ascii="仿宋" w:hAnsi="仿宋" w:eastAsia="仿宋" w:cs="Arial"/>
          <w:color w:val="000000"/>
          <w:kern w:val="0"/>
          <w:szCs w:val="28"/>
        </w:rPr>
        <w:t xml:space="preserve">2 </w:t>
      </w:r>
      <w:r>
        <w:rPr>
          <w:rFonts w:hint="eastAsia" w:ascii="仿宋" w:hAnsi="仿宋" w:eastAsia="仿宋"/>
          <w:szCs w:val="28"/>
        </w:rPr>
        <w:t>为联络和送达方便，各方确认的送达地址如下：</w:t>
      </w:r>
    </w:p>
    <w:p w14:paraId="130C883C">
      <w:pPr>
        <w:spacing w:line="360" w:lineRule="auto"/>
        <w:ind w:firstLine="560"/>
        <w:rPr>
          <w:rFonts w:ascii="仿宋" w:hAnsi="仿宋" w:eastAsia="仿宋"/>
          <w:szCs w:val="28"/>
          <w:u w:val="single"/>
        </w:rPr>
      </w:pPr>
      <w:r>
        <w:rPr>
          <w:rFonts w:hint="eastAsia" w:ascii="仿宋" w:hAnsi="仿宋" w:eastAsia="仿宋"/>
          <w:szCs w:val="28"/>
        </w:rPr>
        <w:t>1</w:t>
      </w:r>
      <w:r>
        <w:rPr>
          <w:rFonts w:ascii="仿宋" w:hAnsi="仿宋" w:eastAsia="仿宋"/>
          <w:szCs w:val="28"/>
        </w:rPr>
        <w:t>5</w:t>
      </w:r>
      <w:r>
        <w:rPr>
          <w:rFonts w:hint="eastAsia" w:ascii="仿宋" w:hAnsi="仿宋" w:eastAsia="仿宋"/>
          <w:szCs w:val="28"/>
        </w:rPr>
        <w:t>.</w:t>
      </w:r>
      <w:r>
        <w:rPr>
          <w:rFonts w:hint="eastAsia" w:ascii="仿宋" w:hAnsi="仿宋" w:eastAsia="仿宋" w:cs="Arial"/>
          <w:color w:val="000000"/>
          <w:kern w:val="0"/>
          <w:szCs w:val="28"/>
        </w:rPr>
        <w:t xml:space="preserve">2.1 </w:t>
      </w:r>
      <w:r>
        <w:rPr>
          <w:rFonts w:hint="eastAsia" w:ascii="仿宋" w:hAnsi="仿宋" w:eastAsia="仿宋"/>
          <w:szCs w:val="28"/>
        </w:rPr>
        <w:t>甲方：</w:t>
      </w:r>
      <w:r>
        <w:rPr>
          <w:rFonts w:hint="eastAsia" w:ascii="仿宋" w:hAnsi="仿宋" w:eastAsia="仿宋"/>
          <w:szCs w:val="28"/>
          <w:u w:val="single"/>
        </w:rPr>
        <w:t xml:space="preserve">                                                  </w:t>
      </w:r>
    </w:p>
    <w:p w14:paraId="62D32F4D">
      <w:pPr>
        <w:spacing w:line="360" w:lineRule="auto"/>
        <w:ind w:firstLine="560"/>
        <w:rPr>
          <w:rFonts w:ascii="仿宋" w:hAnsi="仿宋" w:eastAsia="仿宋"/>
          <w:szCs w:val="28"/>
        </w:rPr>
      </w:pPr>
      <w:r>
        <w:rPr>
          <w:rFonts w:ascii="仿宋" w:hAnsi="仿宋" w:eastAsia="仿宋"/>
          <w:szCs w:val="28"/>
        </w:rPr>
        <w:t>15</w:t>
      </w:r>
      <w:r>
        <w:rPr>
          <w:rFonts w:hint="eastAsia" w:ascii="仿宋" w:hAnsi="仿宋" w:eastAsia="仿宋"/>
          <w:szCs w:val="28"/>
        </w:rPr>
        <w:t>.</w:t>
      </w:r>
      <w:r>
        <w:rPr>
          <w:rFonts w:hint="eastAsia" w:ascii="仿宋" w:hAnsi="仿宋" w:eastAsia="仿宋" w:cs="Arial"/>
          <w:color w:val="000000"/>
          <w:kern w:val="0"/>
          <w:szCs w:val="28"/>
        </w:rPr>
        <w:t xml:space="preserve">2.2 </w:t>
      </w:r>
      <w:r>
        <w:rPr>
          <w:rFonts w:hint="eastAsia" w:ascii="仿宋" w:hAnsi="仿宋" w:eastAsia="仿宋"/>
          <w:szCs w:val="28"/>
        </w:rPr>
        <w:t>乙方：昆明市西山区前兴路688号万达双塔·北塔5楼。</w:t>
      </w:r>
    </w:p>
    <w:p w14:paraId="5ACA7E14">
      <w:pPr>
        <w:widowControl/>
        <w:spacing w:line="360" w:lineRule="auto"/>
        <w:ind w:firstLine="560"/>
        <w:rPr>
          <w:rFonts w:ascii="仿宋" w:hAnsi="仿宋" w:eastAsia="仿宋" w:cs="Arial"/>
          <w:color w:val="000000"/>
          <w:kern w:val="0"/>
          <w:szCs w:val="28"/>
        </w:rPr>
      </w:pPr>
      <w:r>
        <w:rPr>
          <w:rFonts w:hint="eastAsia" w:ascii="仿宋" w:hAnsi="仿宋" w:eastAsia="仿宋"/>
          <w:szCs w:val="28"/>
        </w:rPr>
        <w:t>1</w:t>
      </w:r>
      <w:r>
        <w:rPr>
          <w:rFonts w:ascii="仿宋" w:hAnsi="仿宋" w:eastAsia="仿宋"/>
          <w:szCs w:val="28"/>
        </w:rPr>
        <w:t>5</w:t>
      </w:r>
      <w:r>
        <w:rPr>
          <w:rFonts w:hint="eastAsia" w:ascii="仿宋" w:hAnsi="仿宋" w:eastAsia="仿宋"/>
          <w:szCs w:val="28"/>
        </w:rPr>
        <w:t>.</w:t>
      </w:r>
      <w:r>
        <w:rPr>
          <w:rFonts w:hint="eastAsia" w:ascii="仿宋" w:hAnsi="仿宋" w:eastAsia="仿宋" w:cs="Arial"/>
          <w:color w:val="000000"/>
          <w:kern w:val="0"/>
          <w:szCs w:val="28"/>
        </w:rPr>
        <w:t xml:space="preserve">3 </w:t>
      </w:r>
      <w:r>
        <w:rPr>
          <w:rFonts w:hint="eastAsia" w:ascii="仿宋" w:hAnsi="仿宋" w:eastAsia="仿宋"/>
          <w:szCs w:val="28"/>
        </w:rPr>
        <w:t>按上述地址的送达均视为合法有效的送达，一方地址变更的，应在变更后五日内书面通知对方，否则，</w:t>
      </w:r>
      <w:r>
        <w:rPr>
          <w:rFonts w:hint="eastAsia" w:ascii="仿宋" w:hAnsi="仿宋" w:eastAsia="仿宋" w:cs="Arial"/>
          <w:color w:val="000000"/>
          <w:kern w:val="0"/>
          <w:szCs w:val="28"/>
        </w:rPr>
        <w:t>由未通知方承担由此而引起的相关责任。</w:t>
      </w:r>
    </w:p>
    <w:p w14:paraId="2553AEB1">
      <w:pPr>
        <w:spacing w:line="360" w:lineRule="auto"/>
        <w:ind w:firstLine="560"/>
        <w:rPr>
          <w:rFonts w:ascii="仿宋" w:hAnsi="仿宋" w:eastAsia="仿宋"/>
          <w:szCs w:val="28"/>
        </w:rPr>
      </w:pPr>
      <w:r>
        <w:rPr>
          <w:rFonts w:hint="eastAsia" w:ascii="仿宋" w:hAnsi="仿宋" w:eastAsia="仿宋"/>
          <w:szCs w:val="28"/>
        </w:rPr>
        <w:t>1</w:t>
      </w:r>
      <w:r>
        <w:rPr>
          <w:rFonts w:ascii="仿宋" w:hAnsi="仿宋" w:eastAsia="仿宋"/>
          <w:szCs w:val="28"/>
        </w:rPr>
        <w:t>6</w:t>
      </w:r>
      <w:r>
        <w:rPr>
          <w:rFonts w:hint="eastAsia" w:ascii="仿宋" w:hAnsi="仿宋" w:eastAsia="仿宋"/>
          <w:szCs w:val="28"/>
        </w:rPr>
        <w:t>.  合同的解释</w:t>
      </w:r>
    </w:p>
    <w:p w14:paraId="16618595">
      <w:pPr>
        <w:widowControl/>
        <w:spacing w:line="360" w:lineRule="auto"/>
        <w:ind w:firstLine="560"/>
        <w:rPr>
          <w:rFonts w:ascii="仿宋" w:hAnsi="仿宋" w:eastAsia="仿宋" w:cs="Arial"/>
          <w:color w:val="000000"/>
          <w:kern w:val="0"/>
          <w:szCs w:val="28"/>
        </w:rPr>
      </w:pPr>
      <w:bookmarkStart w:id="50" w:name="#370775"/>
      <w:bookmarkEnd w:id="50"/>
      <w:r>
        <w:rPr>
          <w:rFonts w:hint="eastAsia" w:ascii="仿宋" w:hAnsi="仿宋" w:eastAsia="仿宋"/>
          <w:szCs w:val="28"/>
        </w:rPr>
        <w:t>1</w:t>
      </w:r>
      <w:r>
        <w:rPr>
          <w:rFonts w:ascii="仿宋" w:hAnsi="仿宋" w:eastAsia="仿宋"/>
          <w:szCs w:val="28"/>
        </w:rPr>
        <w:t>6</w:t>
      </w:r>
      <w:r>
        <w:rPr>
          <w:rFonts w:hint="eastAsia" w:ascii="仿宋" w:hAnsi="仿宋" w:eastAsia="仿宋"/>
          <w:szCs w:val="28"/>
        </w:rPr>
        <w:t xml:space="preserve">.1 </w:t>
      </w:r>
      <w:r>
        <w:rPr>
          <w:rFonts w:hint="eastAsia" w:ascii="仿宋" w:hAnsi="仿宋" w:eastAsia="仿宋" w:cs="Arial"/>
          <w:color w:val="000000"/>
          <w:kern w:val="0"/>
          <w:szCs w:val="28"/>
        </w:rPr>
        <w:t>本合同未尽事宜或条款内容不明确，合同双方当事人可以根据本合同的原则、合同的目的、交易习惯及关联条款的内容，按照通常理解对本合同作出合理解释。该解释具有约束力，除非解释与法律或本合同相抵触。</w:t>
      </w:r>
    </w:p>
    <w:p w14:paraId="364E7155">
      <w:pPr>
        <w:spacing w:line="360" w:lineRule="auto"/>
        <w:ind w:firstLine="560"/>
        <w:rPr>
          <w:rFonts w:ascii="仿宋" w:hAnsi="仿宋" w:eastAsia="仿宋"/>
          <w:szCs w:val="28"/>
        </w:rPr>
      </w:pPr>
      <w:bookmarkStart w:id="51" w:name="#370776"/>
      <w:bookmarkEnd w:id="51"/>
      <w:r>
        <w:rPr>
          <w:rFonts w:hint="eastAsia" w:ascii="仿宋" w:hAnsi="仿宋" w:eastAsia="仿宋"/>
          <w:szCs w:val="28"/>
        </w:rPr>
        <w:t>1</w:t>
      </w:r>
      <w:r>
        <w:rPr>
          <w:rFonts w:ascii="仿宋" w:hAnsi="仿宋" w:eastAsia="仿宋"/>
          <w:szCs w:val="28"/>
        </w:rPr>
        <w:t>7</w:t>
      </w:r>
      <w:r>
        <w:rPr>
          <w:rFonts w:hint="eastAsia" w:ascii="仿宋" w:hAnsi="仿宋" w:eastAsia="仿宋"/>
          <w:szCs w:val="28"/>
        </w:rPr>
        <w:t>.  补充与附件</w:t>
      </w:r>
    </w:p>
    <w:p w14:paraId="7A5E994D">
      <w:pPr>
        <w:widowControl/>
        <w:spacing w:line="360" w:lineRule="auto"/>
        <w:ind w:firstLine="560"/>
        <w:rPr>
          <w:rFonts w:ascii="仿宋" w:hAnsi="仿宋" w:eastAsia="仿宋" w:cs="Arial"/>
          <w:color w:val="000000"/>
          <w:kern w:val="0"/>
          <w:szCs w:val="28"/>
        </w:rPr>
      </w:pPr>
      <w:bookmarkStart w:id="52" w:name="#370777"/>
      <w:bookmarkEnd w:id="52"/>
      <w:r>
        <w:rPr>
          <w:rFonts w:hint="eastAsia" w:ascii="仿宋" w:hAnsi="仿宋" w:eastAsia="仿宋"/>
          <w:szCs w:val="28"/>
        </w:rPr>
        <w:t>16.1</w:t>
      </w:r>
      <w:r>
        <w:rPr>
          <w:rFonts w:hint="eastAsia" w:ascii="仿宋" w:hAnsi="仿宋" w:eastAsia="仿宋" w:cs="Arial"/>
          <w:color w:val="000000"/>
          <w:kern w:val="0"/>
          <w:szCs w:val="28"/>
        </w:rPr>
        <w:t>本合同未尽事宜，依照有关法律、法规执行，法律、法规未作规定的，甲乙双方可以达成书面补充合同。本合同的附件和补充合同均为本合同不可分割的组成部分，与本合同具有同等的法律效力。</w:t>
      </w:r>
    </w:p>
    <w:p w14:paraId="1A2C0D7F">
      <w:pPr>
        <w:spacing w:line="360" w:lineRule="auto"/>
        <w:ind w:firstLine="560"/>
        <w:rPr>
          <w:rFonts w:ascii="仿宋" w:hAnsi="仿宋" w:eastAsia="仿宋"/>
          <w:szCs w:val="28"/>
        </w:rPr>
      </w:pPr>
      <w:bookmarkStart w:id="53" w:name="#370764"/>
      <w:bookmarkEnd w:id="53"/>
      <w:bookmarkStart w:id="54" w:name="#370774"/>
      <w:bookmarkEnd w:id="54"/>
      <w:bookmarkStart w:id="55" w:name="#370760"/>
      <w:bookmarkEnd w:id="55"/>
      <w:bookmarkStart w:id="56" w:name="#370778"/>
      <w:bookmarkEnd w:id="56"/>
      <w:bookmarkStart w:id="57" w:name="#370768"/>
      <w:bookmarkEnd w:id="57"/>
      <w:bookmarkStart w:id="58" w:name="#370769"/>
      <w:bookmarkEnd w:id="58"/>
      <w:r>
        <w:rPr>
          <w:rFonts w:hint="eastAsia" w:ascii="仿宋" w:hAnsi="仿宋" w:eastAsia="仿宋"/>
          <w:szCs w:val="28"/>
        </w:rPr>
        <w:t>17. 争议的解决</w:t>
      </w:r>
    </w:p>
    <w:p w14:paraId="270E719E">
      <w:pPr>
        <w:spacing w:line="360" w:lineRule="auto"/>
        <w:ind w:left="400" w:leftChars="143" w:firstLine="280" w:firstLineChars="100"/>
        <w:rPr>
          <w:rFonts w:ascii="仿宋" w:hAnsi="仿宋" w:eastAsia="仿宋"/>
          <w:szCs w:val="28"/>
        </w:rPr>
      </w:pPr>
      <w:r>
        <w:rPr>
          <w:rFonts w:hint="eastAsia" w:ascii="仿宋" w:hAnsi="仿宋" w:eastAsia="仿宋"/>
          <w:szCs w:val="28"/>
        </w:rPr>
        <w:t>17.1甲乙双方如果发生争议，应当友好协商解决。如协商不成，任何一方均可向昆明仲裁委员会按该委会仲裁规则申请仲裁。</w:t>
      </w:r>
    </w:p>
    <w:p w14:paraId="702981E1">
      <w:pPr>
        <w:spacing w:line="360" w:lineRule="auto"/>
        <w:ind w:firstLine="560"/>
        <w:rPr>
          <w:rFonts w:ascii="仿宋" w:hAnsi="仿宋" w:eastAsia="仿宋"/>
          <w:szCs w:val="28"/>
        </w:rPr>
      </w:pPr>
      <w:r>
        <w:rPr>
          <w:rFonts w:hint="eastAsia" w:ascii="仿宋" w:hAnsi="仿宋" w:eastAsia="仿宋"/>
          <w:szCs w:val="28"/>
        </w:rPr>
        <w:t>18. 合同效力</w:t>
      </w:r>
    </w:p>
    <w:p w14:paraId="61632BFC">
      <w:pPr>
        <w:widowControl/>
        <w:spacing w:line="360" w:lineRule="auto"/>
        <w:ind w:firstLine="560"/>
        <w:rPr>
          <w:rFonts w:ascii="仿宋" w:hAnsi="仿宋" w:eastAsia="仿宋" w:cs="Arial"/>
          <w:color w:val="000000"/>
          <w:kern w:val="0"/>
          <w:szCs w:val="28"/>
        </w:rPr>
      </w:pPr>
      <w:bookmarkStart w:id="59" w:name="#370779"/>
      <w:bookmarkEnd w:id="59"/>
      <w:r>
        <w:rPr>
          <w:rFonts w:hint="eastAsia" w:ascii="仿宋" w:hAnsi="仿宋" w:eastAsia="仿宋" w:cs="Arial"/>
          <w:color w:val="000000"/>
          <w:kern w:val="0"/>
          <w:szCs w:val="28"/>
        </w:rPr>
        <w:t>18.1 本合同自双方或双方法定代表人或其授权代表人签字并加盖公章之日起生效。</w:t>
      </w:r>
      <w:r>
        <w:rPr>
          <w:rFonts w:hint="eastAsia" w:ascii="仿宋" w:hAnsi="仿宋" w:eastAsia="仿宋"/>
          <w:szCs w:val="28"/>
          <w:u w:val="single"/>
        </w:rPr>
        <w:t xml:space="preserve"> </w:t>
      </w:r>
    </w:p>
    <w:p w14:paraId="349B459A">
      <w:pPr>
        <w:spacing w:line="360" w:lineRule="auto"/>
        <w:ind w:firstLine="560"/>
        <w:rPr>
          <w:rFonts w:ascii="仿宋" w:hAnsi="仿宋" w:eastAsia="仿宋"/>
          <w:szCs w:val="28"/>
        </w:rPr>
      </w:pPr>
      <w:r>
        <w:rPr>
          <w:rFonts w:hint="eastAsia" w:ascii="仿宋" w:hAnsi="仿宋" w:eastAsia="仿宋"/>
          <w:szCs w:val="28"/>
        </w:rPr>
        <w:t>19. 其它</w:t>
      </w:r>
    </w:p>
    <w:p w14:paraId="43CA03BB">
      <w:pPr>
        <w:spacing w:line="360" w:lineRule="auto"/>
        <w:ind w:firstLine="560"/>
        <w:rPr>
          <w:rFonts w:ascii="仿宋" w:hAnsi="仿宋" w:eastAsia="仿宋"/>
          <w:szCs w:val="28"/>
        </w:rPr>
      </w:pPr>
      <w:r>
        <w:rPr>
          <w:rFonts w:hint="eastAsia" w:ascii="仿宋" w:hAnsi="仿宋" w:eastAsia="仿宋"/>
          <w:szCs w:val="28"/>
        </w:rPr>
        <w:t>19.1本合同一式四份，甲方执二份，乙方执二份，具有同等法律效力，经双方签字盖章后生效。</w:t>
      </w:r>
    </w:p>
    <w:p w14:paraId="2AC914A7">
      <w:pPr>
        <w:spacing w:line="360" w:lineRule="auto"/>
        <w:ind w:firstLine="0" w:firstLineChars="0"/>
        <w:rPr>
          <w:rFonts w:ascii="仿宋" w:hAnsi="仿宋" w:eastAsia="仿宋"/>
          <w:szCs w:val="28"/>
        </w:rPr>
      </w:pPr>
    </w:p>
    <w:p w14:paraId="23A64A7A">
      <w:pPr>
        <w:spacing w:line="360" w:lineRule="auto"/>
        <w:ind w:left="8260" w:hanging="8260" w:hangingChars="2950"/>
        <w:rPr>
          <w:rFonts w:ascii="仿宋" w:hAnsi="仿宋" w:eastAsia="仿宋"/>
          <w:szCs w:val="28"/>
        </w:rPr>
      </w:pPr>
      <w:r>
        <w:rPr>
          <w:rFonts w:hint="eastAsia" w:ascii="仿宋" w:hAnsi="仿宋" w:eastAsia="仿宋"/>
          <w:szCs w:val="28"/>
        </w:rPr>
        <w:t>甲方：中高后勤服务（云南）有限公司  乙方：北京大成（昆明）律师事                            务所</w:t>
      </w:r>
    </w:p>
    <w:p w14:paraId="1F97A10A">
      <w:pPr>
        <w:spacing w:line="360" w:lineRule="auto"/>
        <w:ind w:firstLine="0" w:firstLineChars="0"/>
        <w:rPr>
          <w:rFonts w:ascii="仿宋" w:hAnsi="仿宋" w:eastAsia="仿宋"/>
          <w:szCs w:val="28"/>
        </w:rPr>
      </w:pPr>
      <w:r>
        <w:rPr>
          <w:rFonts w:hint="eastAsia" w:ascii="仿宋" w:hAnsi="仿宋" w:eastAsia="仿宋"/>
          <w:szCs w:val="28"/>
        </w:rPr>
        <w:t>法定代表人：                        负责人：</w:t>
      </w:r>
    </w:p>
    <w:p w14:paraId="5673B0E9">
      <w:pPr>
        <w:spacing w:line="360" w:lineRule="auto"/>
        <w:ind w:firstLine="0" w:firstLineChars="0"/>
        <w:rPr>
          <w:rFonts w:ascii="仿宋" w:hAnsi="仿宋" w:eastAsia="仿宋"/>
          <w:szCs w:val="28"/>
        </w:rPr>
      </w:pPr>
      <w:r>
        <w:rPr>
          <w:rFonts w:hint="eastAsia" w:ascii="仿宋" w:hAnsi="仿宋" w:eastAsia="仿宋"/>
          <w:szCs w:val="28"/>
        </w:rPr>
        <w:t xml:space="preserve">年   月   日                                  年   月   日 </w:t>
      </w:r>
    </w:p>
    <w:sectPr>
      <w:headerReference r:id="rId7" w:type="first"/>
      <w:footerReference r:id="rId10" w:type="first"/>
      <w:headerReference r:id="rId5" w:type="default"/>
      <w:footerReference r:id="rId8" w:type="default"/>
      <w:headerReference r:id="rId6" w:type="even"/>
      <w:footerReference r:id="rId9" w:type="even"/>
      <w:pgSz w:w="11906" w:h="16838"/>
      <w:pgMar w:top="1985" w:right="1474" w:bottom="1985" w:left="1588" w:header="550" w:footer="720" w:gutter="0"/>
      <w:cols w:space="425"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B0604020202020204"/>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7AF43B">
    <w:pPr>
      <w:pStyle w:val="5"/>
      <w:tabs>
        <w:tab w:val="left" w:pos="574"/>
        <w:tab w:val="clear" w:pos="4153"/>
      </w:tabs>
      <w:spacing w:before="120" w:after="120"/>
    </w:pPr>
    <w: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EA1622">
                          <w:pPr>
                            <w:pStyle w:val="5"/>
                          </w:pPr>
                          <w:r>
                            <w:fldChar w:fldCharType="begin"/>
                          </w:r>
                          <w:r>
                            <w:instrText xml:space="preserve"> PAGE  \* MERGEFORMAT </w:instrText>
                          </w:r>
                          <w:r>
                            <w:fldChar w:fldCharType="separate"/>
                          </w:r>
                          <w:r>
                            <w:t>2</w:t>
                          </w:r>
                          <w:r>
                            <w:fldChar w:fldCharType="end"/>
                          </w:r>
                          <w:r>
                            <w:t xml:space="preserve"> / </w:t>
                          </w:r>
                          <w:r>
                            <w:fldChar w:fldCharType="begin"/>
                          </w:r>
                          <w:r>
                            <w:instrText xml:space="preserve"> NUMPAGES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2CEA1622">
                    <w:pPr>
                      <w:pStyle w:val="5"/>
                    </w:pPr>
                    <w:r>
                      <w:fldChar w:fldCharType="begin"/>
                    </w:r>
                    <w:r>
                      <w:instrText xml:space="preserve"> PAGE  \* MERGEFORMAT </w:instrText>
                    </w:r>
                    <w:r>
                      <w:fldChar w:fldCharType="separate"/>
                    </w:r>
                    <w:r>
                      <w:t>2</w:t>
                    </w:r>
                    <w:r>
                      <w:fldChar w:fldCharType="end"/>
                    </w:r>
                    <w:r>
                      <w:t xml:space="preserve"> / </w:t>
                    </w:r>
                    <w:r>
                      <w:fldChar w:fldCharType="begin"/>
                    </w:r>
                    <w:r>
                      <w:instrText xml:space="preserve"> NUMPAGES  \* MERGEFORMAT </w:instrText>
                    </w:r>
                    <w:r>
                      <w:fldChar w:fldCharType="separate"/>
                    </w:r>
                    <w:r>
                      <w:t>9</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E3E647">
    <w:pPr>
      <w:pStyle w:val="5"/>
      <w:spacing w:before="120" w:after="120"/>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B5802C">
    <w:pPr>
      <w:pStyle w:val="5"/>
    </w:pPr>
    <w: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A34B26">
                          <w:pPr>
                            <w:pStyle w:val="5"/>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5BA34B26">
                    <w:pPr>
                      <w:pStyle w:val="5"/>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9</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0"/>
      <w:tblW w:w="883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2937"/>
      <w:gridCol w:w="3415"/>
      <w:gridCol w:w="2487"/>
    </w:tblGrid>
    <w:tr w14:paraId="664C5D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9" w:hRule="atLeast"/>
      </w:trPr>
      <w:tc>
        <w:tcPr>
          <w:tcW w:w="2937" w:type="dxa"/>
        </w:tcPr>
        <w:p w14:paraId="355E6F44">
          <w:pPr>
            <w:pStyle w:val="6"/>
            <w:jc w:val="left"/>
            <w:rPr>
              <w:szCs w:val="14"/>
            </w:rPr>
          </w:pPr>
          <w:r>
            <w:rPr>
              <w:rFonts w:hint="eastAsia"/>
              <w:szCs w:val="14"/>
            </w:rPr>
            <w:drawing>
              <wp:inline distT="0" distB="0" distL="114300" distR="114300">
                <wp:extent cx="1592580" cy="360045"/>
                <wp:effectExtent l="0" t="0" r="7620" b="5715"/>
                <wp:docPr id="9" name="图片 9" descr="LOGO-英-紫色-重叠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LOGO-英-紫色-重叠版"/>
                        <pic:cNvPicPr>
                          <a:picLocks noChangeAspect="1"/>
                        </pic:cNvPicPr>
                      </pic:nvPicPr>
                      <pic:blipFill>
                        <a:blip r:embed="rId1"/>
                        <a:stretch>
                          <a:fillRect/>
                        </a:stretch>
                      </pic:blipFill>
                      <pic:spPr>
                        <a:xfrm>
                          <a:off x="0" y="0"/>
                          <a:ext cx="1592580" cy="360045"/>
                        </a:xfrm>
                        <a:prstGeom prst="rect">
                          <a:avLst/>
                        </a:prstGeom>
                      </pic:spPr>
                    </pic:pic>
                  </a:graphicData>
                </a:graphic>
              </wp:inline>
            </w:drawing>
          </w:r>
        </w:p>
      </w:tc>
      <w:tc>
        <w:tcPr>
          <w:tcW w:w="3415" w:type="dxa"/>
        </w:tcPr>
        <w:p w14:paraId="02DF5142">
          <w:pPr>
            <w:pStyle w:val="6"/>
            <w:rPr>
              <w:szCs w:val="14"/>
            </w:rPr>
          </w:pPr>
        </w:p>
      </w:tc>
      <w:tc>
        <w:tcPr>
          <w:tcW w:w="2487" w:type="dxa"/>
        </w:tcPr>
        <w:p w14:paraId="4C3D0461">
          <w:pPr>
            <w:pStyle w:val="6"/>
          </w:pPr>
          <w:r>
            <w:rPr>
              <w:rFonts w:hint="eastAsia"/>
            </w:rPr>
            <w:t>dacheng.com</w:t>
          </w:r>
        </w:p>
        <w:p w14:paraId="5BDDC7F1">
          <w:pPr>
            <w:pStyle w:val="6"/>
            <w:rPr>
              <w:szCs w:val="14"/>
            </w:rPr>
          </w:pPr>
          <w:r>
            <w:rPr>
              <w:rFonts w:hint="eastAsia"/>
            </w:rPr>
            <w:t>d</w:t>
          </w:r>
          <w:r>
            <w:t>entons.c</w:t>
          </w:r>
          <w:r>
            <w:rPr>
              <w:rFonts w:hint="eastAsia"/>
            </w:rPr>
            <w:t>n</w:t>
          </w:r>
        </w:p>
      </w:tc>
    </w:tr>
    <w:tr w14:paraId="4B3FC2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3" w:hRule="atLeast"/>
      </w:trPr>
      <w:tc>
        <w:tcPr>
          <w:tcW w:w="8839" w:type="dxa"/>
          <w:gridSpan w:val="3"/>
        </w:tcPr>
        <w:p w14:paraId="1A9B19F6">
          <w:pPr>
            <w:pStyle w:val="6"/>
            <w:jc w:val="left"/>
            <w:rPr>
              <w:szCs w:val="14"/>
            </w:rPr>
          </w:pPr>
        </w:p>
      </w:tc>
    </w:tr>
  </w:tbl>
  <w:p w14:paraId="68142FBC">
    <w:pPr>
      <w:pStyle w:val="6"/>
      <w:rPr>
        <w:sz w:val="2"/>
        <w:szCs w:val="2"/>
      </w:rPr>
    </w:pPr>
    <w:r>
      <w:rPr>
        <w:sz w:val="2"/>
      </w:rPr>
      <w:drawing>
        <wp:anchor distT="0" distB="0" distL="114300" distR="114300" simplePos="0" relativeHeight="251662336" behindDoc="1" locked="0" layoutInCell="1" allowOverlap="1">
          <wp:simplePos x="0" y="0"/>
          <wp:positionH relativeFrom="margin">
            <wp:align>center</wp:align>
          </wp:positionH>
          <wp:positionV relativeFrom="margin">
            <wp:align>center</wp:align>
          </wp:positionV>
          <wp:extent cx="5615940" cy="1270635"/>
          <wp:effectExtent l="0" t="962660" r="0" b="1805305"/>
          <wp:wrapNone/>
          <wp:docPr id="10" name="WordPictureWatermark206883" descr="LOGO-英-紫色-重叠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WordPictureWatermark206883" descr="LOGO-英-紫色-重叠版"/>
                  <pic:cNvPicPr>
                    <a:picLocks noChangeAspect="1"/>
                  </pic:cNvPicPr>
                </pic:nvPicPr>
                <pic:blipFill>
                  <a:blip r:embed="rId1">
                    <a:lum bright="70000" contrast="-70000"/>
                  </a:blip>
                  <a:stretch>
                    <a:fillRect/>
                  </a:stretch>
                </pic:blipFill>
                <pic:spPr>
                  <a:xfrm rot="18900000">
                    <a:off x="0" y="0"/>
                    <a:ext cx="5615940" cy="1270635"/>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88381C">
    <w:pPr>
      <w:pStyle w:val="6"/>
    </w:pPr>
    <w:r>
      <w:pict>
        <v:shape id="WordPictureWatermark384610" o:spid="_x0000_s1025" o:spt="75" type="#_x0000_t75" style="position:absolute;left:0pt;height:373.3pt;width:442pt;mso-position-horizontal:center;mso-position-horizontal-relative:margin;mso-position-vertical:center;mso-position-vertical-relative:margin;z-index:-251652096;mso-width-relative:page;mso-height-relative:page;" filled="f" o:preferrelative="t" stroked="f" coordsize="21600,21600" o:allowincell="f">
          <v:path/>
          <v:fill on="f" focussize="0,0"/>
          <v:stroke on="f" joinstyle="miter"/>
          <v:imagedata r:id="rId1" gain="19661f" blacklevel="22938f" o:title="大成水印（斜版）"/>
          <o:lock v:ext="edit" aspectratio="t"/>
        </v:shape>
      </w:pict>
    </w:r>
    <w:r>
      <w:drawing>
        <wp:anchor distT="0" distB="0" distL="114300" distR="114300" simplePos="0" relativeHeight="251659264" behindDoc="1" locked="0" layoutInCell="0" allowOverlap="1">
          <wp:simplePos x="0" y="0"/>
          <wp:positionH relativeFrom="margin">
            <wp:align>center</wp:align>
          </wp:positionH>
          <wp:positionV relativeFrom="margin">
            <wp:align>center</wp:align>
          </wp:positionV>
          <wp:extent cx="5613400" cy="4740910"/>
          <wp:effectExtent l="0" t="0" r="0" b="8890"/>
          <wp:wrapNone/>
          <wp:docPr id="3" name="WordPictureWatermark33892981" descr="大成水印（斜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PictureWatermark33892981" descr="大成水印（斜版）"/>
                  <pic:cNvPicPr>
                    <a:picLocks noChangeAspect="1"/>
                  </pic:cNvPicPr>
                </pic:nvPicPr>
                <pic:blipFill>
                  <a:blip r:embed="rId1">
                    <a:lum bright="70001" contrast="-70000"/>
                  </a:blip>
                  <a:stretch>
                    <a:fillRect/>
                  </a:stretch>
                </pic:blipFill>
                <pic:spPr>
                  <a:xfrm>
                    <a:off x="0" y="0"/>
                    <a:ext cx="5613400" cy="4740910"/>
                  </a:xfrm>
                  <a:prstGeom prst="rect">
                    <a:avLst/>
                  </a:prstGeom>
                  <a:noFill/>
                  <a:ln>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0"/>
      <w:tblW w:w="881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2824"/>
      <w:gridCol w:w="3963"/>
      <w:gridCol w:w="2032"/>
    </w:tblGrid>
    <w:tr w14:paraId="715C32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2824" w:type="dxa"/>
        </w:tcPr>
        <w:p w14:paraId="2FBA78C0">
          <w:pPr>
            <w:pStyle w:val="6"/>
            <w:jc w:val="left"/>
            <w:rPr>
              <w:szCs w:val="14"/>
            </w:rPr>
          </w:pPr>
          <w:r>
            <w:rPr>
              <w:rFonts w:hint="eastAsia"/>
              <w:szCs w:val="14"/>
            </w:rPr>
            <w:drawing>
              <wp:inline distT="0" distB="0" distL="114300" distR="114300">
                <wp:extent cx="1590675" cy="360045"/>
                <wp:effectExtent l="0" t="0" r="9525" b="5715"/>
                <wp:docPr id="1" name="图片 1" descr="LOGO-英-紫色-重叠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英-紫色-重叠版"/>
                        <pic:cNvPicPr>
                          <a:picLocks noChangeAspect="1"/>
                        </pic:cNvPicPr>
                      </pic:nvPicPr>
                      <pic:blipFill>
                        <a:blip r:embed="rId1"/>
                        <a:stretch>
                          <a:fillRect/>
                        </a:stretch>
                      </pic:blipFill>
                      <pic:spPr>
                        <a:xfrm>
                          <a:off x="0" y="0"/>
                          <a:ext cx="1590675" cy="360045"/>
                        </a:xfrm>
                        <a:prstGeom prst="rect">
                          <a:avLst/>
                        </a:prstGeom>
                      </pic:spPr>
                    </pic:pic>
                  </a:graphicData>
                </a:graphic>
              </wp:inline>
            </w:drawing>
          </w:r>
        </w:p>
      </w:tc>
      <w:tc>
        <w:tcPr>
          <w:tcW w:w="3963" w:type="dxa"/>
        </w:tcPr>
        <w:p w14:paraId="1FB7380A">
          <w:pPr>
            <w:pStyle w:val="6"/>
          </w:pPr>
          <w:r>
            <w:rPr>
              <w:rFonts w:hint="eastAsia"/>
            </w:rPr>
            <w:t>北京</w:t>
          </w:r>
          <w:r>
            <w:t>大成</w:t>
          </w:r>
          <w:r>
            <w:rPr>
              <w:rFonts w:hint="eastAsia"/>
            </w:rPr>
            <w:t>（昆明）</w:t>
          </w:r>
          <w:r>
            <w:t>律师</w:t>
          </w:r>
          <w:r>
            <w:rPr>
              <w:rFonts w:hint="eastAsia"/>
            </w:rPr>
            <w:t>事务</w:t>
          </w:r>
          <w:r>
            <w:t>所</w:t>
          </w:r>
        </w:p>
        <w:p w14:paraId="52EDACC0">
          <w:pPr>
            <w:pStyle w:val="6"/>
          </w:pPr>
          <w:r>
            <w:rPr>
              <w:rFonts w:hint="eastAsia"/>
            </w:rPr>
            <w:t>云南省昆明</w:t>
          </w:r>
          <w:r>
            <w:t>市</w:t>
          </w:r>
          <w:r>
            <w:rPr>
              <w:rFonts w:hint="eastAsia"/>
            </w:rPr>
            <w:t>西山区</w:t>
          </w:r>
        </w:p>
        <w:p w14:paraId="030928C8">
          <w:pPr>
            <w:pStyle w:val="6"/>
          </w:pPr>
          <w:r>
            <w:rPr>
              <w:rFonts w:hint="eastAsia"/>
            </w:rPr>
            <w:t>万达·昆明双塔-北塔5楼</w:t>
          </w:r>
        </w:p>
        <w:p w14:paraId="116E2AC5">
          <w:pPr>
            <w:pStyle w:val="6"/>
            <w:wordWrap w:val="0"/>
            <w:rPr>
              <w:szCs w:val="14"/>
            </w:rPr>
          </w:pPr>
          <w:r>
            <w:rPr>
              <w:rFonts w:hint="eastAsia"/>
            </w:rPr>
            <w:t>电话</w:t>
          </w:r>
          <w:r>
            <w:t>：0</w:t>
          </w:r>
          <w:r>
            <w:rPr>
              <w:rFonts w:hint="eastAsia"/>
            </w:rPr>
            <w:t>871-64326335</w:t>
          </w:r>
        </w:p>
      </w:tc>
      <w:tc>
        <w:tcPr>
          <w:tcW w:w="2032" w:type="dxa"/>
        </w:tcPr>
        <w:p w14:paraId="4A6B7E31">
          <w:pPr>
            <w:pStyle w:val="6"/>
            <w:ind w:right="70"/>
          </w:pPr>
          <w:r>
            <w:t>5 Floor of North Tower,</w:t>
          </w:r>
        </w:p>
        <w:p w14:paraId="18D4F83E">
          <w:pPr>
            <w:pStyle w:val="6"/>
            <w:ind w:right="70"/>
          </w:pPr>
          <w:r>
            <w:t>Wanda Kunming Twin Towers,</w:t>
          </w:r>
        </w:p>
        <w:p w14:paraId="3D441F37">
          <w:pPr>
            <w:pStyle w:val="6"/>
            <w:ind w:right="70"/>
          </w:pPr>
          <w:r>
            <w:t xml:space="preserve">Xishan District, </w:t>
          </w:r>
        </w:p>
        <w:p w14:paraId="796E5FC3">
          <w:pPr>
            <w:pStyle w:val="6"/>
            <w:ind w:right="70"/>
          </w:pPr>
          <w:r>
            <w:t>Kunming</w:t>
          </w:r>
          <w:r>
            <w:rPr>
              <w:rFonts w:hint="eastAsia"/>
            </w:rPr>
            <w:t>, Yunnan</w:t>
          </w:r>
          <w:r>
            <w:t>,</w:t>
          </w:r>
          <w:r>
            <w:rPr>
              <w:rFonts w:hint="eastAsia"/>
            </w:rPr>
            <w:t xml:space="preserve"> </w:t>
          </w:r>
          <w:r>
            <w:t>China</w:t>
          </w:r>
        </w:p>
        <w:p w14:paraId="1A5CB36E">
          <w:pPr>
            <w:pStyle w:val="6"/>
            <w:ind w:right="70"/>
          </w:pPr>
          <w:r>
            <w:rPr>
              <w:rFonts w:hint="eastAsia"/>
            </w:rPr>
            <w:t>Tel: 86871-64326335</w:t>
          </w:r>
        </w:p>
      </w:tc>
    </w:tr>
    <w:tr w14:paraId="52AE78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8819" w:type="dxa"/>
          <w:gridSpan w:val="3"/>
        </w:tcPr>
        <w:p w14:paraId="790BBF15">
          <w:pPr>
            <w:pStyle w:val="6"/>
            <w:jc w:val="left"/>
            <w:rPr>
              <w:szCs w:val="14"/>
            </w:rPr>
          </w:pPr>
        </w:p>
      </w:tc>
    </w:tr>
    <w:tr w14:paraId="31556D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8819" w:type="dxa"/>
          <w:gridSpan w:val="3"/>
        </w:tcPr>
        <w:p w14:paraId="0A518153">
          <w:pPr>
            <w:pStyle w:val="6"/>
          </w:pPr>
          <w:r>
            <w:rPr>
              <w:rFonts w:hint="eastAsia"/>
            </w:rPr>
            <w:t>dacheng.com</w:t>
          </w:r>
        </w:p>
        <w:p w14:paraId="73DAF0D1">
          <w:pPr>
            <w:pStyle w:val="6"/>
            <w:rPr>
              <w:szCs w:val="14"/>
            </w:rPr>
          </w:pPr>
          <w:r>
            <w:rPr>
              <w:rFonts w:hint="eastAsia"/>
            </w:rPr>
            <w:t>d</w:t>
          </w:r>
          <w:r>
            <w:t>entons.c</w:t>
          </w:r>
          <w:r>
            <w:rPr>
              <w:rFonts w:hint="eastAsia"/>
            </w:rPr>
            <w:t>n</w:t>
          </w:r>
        </w:p>
      </w:tc>
    </w:tr>
  </w:tbl>
  <w:p w14:paraId="3554A16E">
    <w:pPr>
      <w:pStyle w:val="6"/>
      <w:jc w:val="left"/>
      <w:rPr>
        <w:szCs w:val="14"/>
      </w:rPr>
    </w:pPr>
    <w:r>
      <w:drawing>
        <wp:anchor distT="0" distB="0" distL="114300" distR="114300" simplePos="0" relativeHeight="251663360" behindDoc="1" locked="0" layoutInCell="1" allowOverlap="1">
          <wp:simplePos x="0" y="0"/>
          <wp:positionH relativeFrom="margin">
            <wp:align>center</wp:align>
          </wp:positionH>
          <wp:positionV relativeFrom="margin">
            <wp:align>center</wp:align>
          </wp:positionV>
          <wp:extent cx="5615940" cy="1270635"/>
          <wp:effectExtent l="0" t="962660" r="0" b="1805305"/>
          <wp:wrapNone/>
          <wp:docPr id="11" name="WordPictureWatermark225426" descr="LOGO-英-紫色-重叠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ordPictureWatermark225426" descr="LOGO-英-紫色-重叠版"/>
                  <pic:cNvPicPr>
                    <a:picLocks noChangeAspect="1"/>
                  </pic:cNvPicPr>
                </pic:nvPicPr>
                <pic:blipFill>
                  <a:blip r:embed="rId1">
                    <a:lum bright="70000" contrast="-70000"/>
                  </a:blip>
                  <a:stretch>
                    <a:fillRect/>
                  </a:stretch>
                </pic:blipFill>
                <pic:spPr>
                  <a:xfrm rot="18900000">
                    <a:off x="0" y="0"/>
                    <a:ext cx="5615940" cy="1270635"/>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c3YTZjNzg5NTZjMzU0N2Y0ZDg2MzdlZWZiYTAyMDcifQ=="/>
  </w:docVars>
  <w:rsids>
    <w:rsidRoot w:val="005A6602"/>
    <w:rsid w:val="00002C36"/>
    <w:rsid w:val="0000321E"/>
    <w:rsid w:val="000048AD"/>
    <w:rsid w:val="00006315"/>
    <w:rsid w:val="00010237"/>
    <w:rsid w:val="00022F09"/>
    <w:rsid w:val="00032236"/>
    <w:rsid w:val="000346DC"/>
    <w:rsid w:val="00043C6E"/>
    <w:rsid w:val="00045B30"/>
    <w:rsid w:val="00052020"/>
    <w:rsid w:val="00056189"/>
    <w:rsid w:val="000612EF"/>
    <w:rsid w:val="0006433A"/>
    <w:rsid w:val="0006550D"/>
    <w:rsid w:val="000715EA"/>
    <w:rsid w:val="00071819"/>
    <w:rsid w:val="00071EE3"/>
    <w:rsid w:val="00073830"/>
    <w:rsid w:val="00074C51"/>
    <w:rsid w:val="00086CD5"/>
    <w:rsid w:val="0008763F"/>
    <w:rsid w:val="000900F0"/>
    <w:rsid w:val="00092F25"/>
    <w:rsid w:val="000938A3"/>
    <w:rsid w:val="0009657A"/>
    <w:rsid w:val="00096E50"/>
    <w:rsid w:val="000A2767"/>
    <w:rsid w:val="000A3B1E"/>
    <w:rsid w:val="000A46D9"/>
    <w:rsid w:val="000A74E9"/>
    <w:rsid w:val="000B3176"/>
    <w:rsid w:val="000B485B"/>
    <w:rsid w:val="000C0DE0"/>
    <w:rsid w:val="000C5456"/>
    <w:rsid w:val="000C5D3B"/>
    <w:rsid w:val="000D03C1"/>
    <w:rsid w:val="000D0D88"/>
    <w:rsid w:val="000D1397"/>
    <w:rsid w:val="000D1AB5"/>
    <w:rsid w:val="000D2BC2"/>
    <w:rsid w:val="000D7016"/>
    <w:rsid w:val="000E0CC9"/>
    <w:rsid w:val="000E5C95"/>
    <w:rsid w:val="000E79E2"/>
    <w:rsid w:val="000E7FAE"/>
    <w:rsid w:val="000F04E4"/>
    <w:rsid w:val="000F0FAA"/>
    <w:rsid w:val="000F5DCD"/>
    <w:rsid w:val="000F5F56"/>
    <w:rsid w:val="0010691C"/>
    <w:rsid w:val="001107EB"/>
    <w:rsid w:val="00116B04"/>
    <w:rsid w:val="00122772"/>
    <w:rsid w:val="001238AC"/>
    <w:rsid w:val="0013349E"/>
    <w:rsid w:val="0013358E"/>
    <w:rsid w:val="00140B56"/>
    <w:rsid w:val="00140CF4"/>
    <w:rsid w:val="00143865"/>
    <w:rsid w:val="0014482D"/>
    <w:rsid w:val="00146E9C"/>
    <w:rsid w:val="001472A3"/>
    <w:rsid w:val="0015075E"/>
    <w:rsid w:val="00151361"/>
    <w:rsid w:val="00155092"/>
    <w:rsid w:val="001553BF"/>
    <w:rsid w:val="00155E2B"/>
    <w:rsid w:val="00156E91"/>
    <w:rsid w:val="00163153"/>
    <w:rsid w:val="00163399"/>
    <w:rsid w:val="00167588"/>
    <w:rsid w:val="001700A4"/>
    <w:rsid w:val="00170A8D"/>
    <w:rsid w:val="00172088"/>
    <w:rsid w:val="00172528"/>
    <w:rsid w:val="00173D0D"/>
    <w:rsid w:val="00174A25"/>
    <w:rsid w:val="00176075"/>
    <w:rsid w:val="0018159E"/>
    <w:rsid w:val="00183D14"/>
    <w:rsid w:val="0019040E"/>
    <w:rsid w:val="0019042E"/>
    <w:rsid w:val="00193FC9"/>
    <w:rsid w:val="00194C85"/>
    <w:rsid w:val="00195982"/>
    <w:rsid w:val="0019670D"/>
    <w:rsid w:val="00196828"/>
    <w:rsid w:val="001A063A"/>
    <w:rsid w:val="001A2B0B"/>
    <w:rsid w:val="001A3D58"/>
    <w:rsid w:val="001A41CC"/>
    <w:rsid w:val="001B25F0"/>
    <w:rsid w:val="001B2B3C"/>
    <w:rsid w:val="001B5645"/>
    <w:rsid w:val="001B7C44"/>
    <w:rsid w:val="001B7C70"/>
    <w:rsid w:val="001C1122"/>
    <w:rsid w:val="001C1D84"/>
    <w:rsid w:val="001C6031"/>
    <w:rsid w:val="001D18DA"/>
    <w:rsid w:val="001D1ABE"/>
    <w:rsid w:val="001E0D0C"/>
    <w:rsid w:val="001E2A14"/>
    <w:rsid w:val="001E415E"/>
    <w:rsid w:val="001E5047"/>
    <w:rsid w:val="001E50CE"/>
    <w:rsid w:val="001E5607"/>
    <w:rsid w:val="001E5D9A"/>
    <w:rsid w:val="001E5E2B"/>
    <w:rsid w:val="001E632B"/>
    <w:rsid w:val="001F26FB"/>
    <w:rsid w:val="002001D2"/>
    <w:rsid w:val="00220503"/>
    <w:rsid w:val="00220518"/>
    <w:rsid w:val="002235C8"/>
    <w:rsid w:val="00223F30"/>
    <w:rsid w:val="002245B4"/>
    <w:rsid w:val="00226DA5"/>
    <w:rsid w:val="00227583"/>
    <w:rsid w:val="00232A6F"/>
    <w:rsid w:val="0023580C"/>
    <w:rsid w:val="00237BEF"/>
    <w:rsid w:val="00237E8B"/>
    <w:rsid w:val="00244249"/>
    <w:rsid w:val="002515D2"/>
    <w:rsid w:val="0025603C"/>
    <w:rsid w:val="002569DC"/>
    <w:rsid w:val="0025720A"/>
    <w:rsid w:val="00257A8A"/>
    <w:rsid w:val="00262EC1"/>
    <w:rsid w:val="0026540F"/>
    <w:rsid w:val="00265FFA"/>
    <w:rsid w:val="00271E22"/>
    <w:rsid w:val="00272A1A"/>
    <w:rsid w:val="0028139B"/>
    <w:rsid w:val="00284384"/>
    <w:rsid w:val="00284AF5"/>
    <w:rsid w:val="0028562D"/>
    <w:rsid w:val="00285BC7"/>
    <w:rsid w:val="00286695"/>
    <w:rsid w:val="00290F4A"/>
    <w:rsid w:val="0029296E"/>
    <w:rsid w:val="002A1A5E"/>
    <w:rsid w:val="002A71A0"/>
    <w:rsid w:val="002C139E"/>
    <w:rsid w:val="002C2D98"/>
    <w:rsid w:val="002C3EC9"/>
    <w:rsid w:val="002C55FD"/>
    <w:rsid w:val="002D3054"/>
    <w:rsid w:val="002D5086"/>
    <w:rsid w:val="002D6F6C"/>
    <w:rsid w:val="002D727E"/>
    <w:rsid w:val="002D730C"/>
    <w:rsid w:val="002D76BD"/>
    <w:rsid w:val="002E1025"/>
    <w:rsid w:val="002E2CFA"/>
    <w:rsid w:val="002E2DA9"/>
    <w:rsid w:val="002E49F2"/>
    <w:rsid w:val="002E4D33"/>
    <w:rsid w:val="002E6C3E"/>
    <w:rsid w:val="002F04AA"/>
    <w:rsid w:val="002F0E18"/>
    <w:rsid w:val="002F1ADD"/>
    <w:rsid w:val="002F79EA"/>
    <w:rsid w:val="00302230"/>
    <w:rsid w:val="00303B10"/>
    <w:rsid w:val="003062C8"/>
    <w:rsid w:val="003079F9"/>
    <w:rsid w:val="003202DA"/>
    <w:rsid w:val="003203D7"/>
    <w:rsid w:val="003205D2"/>
    <w:rsid w:val="00321599"/>
    <w:rsid w:val="0032300A"/>
    <w:rsid w:val="00324B0A"/>
    <w:rsid w:val="0032663A"/>
    <w:rsid w:val="00327A52"/>
    <w:rsid w:val="00327FAC"/>
    <w:rsid w:val="003317C3"/>
    <w:rsid w:val="003327D1"/>
    <w:rsid w:val="00335356"/>
    <w:rsid w:val="003366C8"/>
    <w:rsid w:val="003373F1"/>
    <w:rsid w:val="00340948"/>
    <w:rsid w:val="003477D5"/>
    <w:rsid w:val="00353683"/>
    <w:rsid w:val="00356A10"/>
    <w:rsid w:val="00356E2E"/>
    <w:rsid w:val="0036354C"/>
    <w:rsid w:val="00363A06"/>
    <w:rsid w:val="003649D8"/>
    <w:rsid w:val="00366CB3"/>
    <w:rsid w:val="00371CCF"/>
    <w:rsid w:val="0037317E"/>
    <w:rsid w:val="0037693A"/>
    <w:rsid w:val="003844E6"/>
    <w:rsid w:val="00385045"/>
    <w:rsid w:val="00386205"/>
    <w:rsid w:val="0038625C"/>
    <w:rsid w:val="003912EA"/>
    <w:rsid w:val="00396DD3"/>
    <w:rsid w:val="00397A7F"/>
    <w:rsid w:val="003A5374"/>
    <w:rsid w:val="003A5416"/>
    <w:rsid w:val="003A62B5"/>
    <w:rsid w:val="003B2389"/>
    <w:rsid w:val="003B2507"/>
    <w:rsid w:val="003B509B"/>
    <w:rsid w:val="003B56FC"/>
    <w:rsid w:val="003B72CC"/>
    <w:rsid w:val="003C169F"/>
    <w:rsid w:val="003C3481"/>
    <w:rsid w:val="003C64B6"/>
    <w:rsid w:val="003D0CFB"/>
    <w:rsid w:val="003D0F69"/>
    <w:rsid w:val="003D2366"/>
    <w:rsid w:val="003D41ED"/>
    <w:rsid w:val="003D5547"/>
    <w:rsid w:val="003D7943"/>
    <w:rsid w:val="003D7D76"/>
    <w:rsid w:val="003E142A"/>
    <w:rsid w:val="003E2D1C"/>
    <w:rsid w:val="003E4048"/>
    <w:rsid w:val="003F128A"/>
    <w:rsid w:val="003F20F1"/>
    <w:rsid w:val="003F2BAC"/>
    <w:rsid w:val="003F57F8"/>
    <w:rsid w:val="003F7171"/>
    <w:rsid w:val="003F7A85"/>
    <w:rsid w:val="00400BDE"/>
    <w:rsid w:val="00403AB1"/>
    <w:rsid w:val="00405F26"/>
    <w:rsid w:val="004107CF"/>
    <w:rsid w:val="00410D7D"/>
    <w:rsid w:val="00414C48"/>
    <w:rsid w:val="00422D6A"/>
    <w:rsid w:val="00422E78"/>
    <w:rsid w:val="00425366"/>
    <w:rsid w:val="004253DA"/>
    <w:rsid w:val="00433558"/>
    <w:rsid w:val="00433B9E"/>
    <w:rsid w:val="00437736"/>
    <w:rsid w:val="0044267D"/>
    <w:rsid w:val="00443F18"/>
    <w:rsid w:val="00452C04"/>
    <w:rsid w:val="00456A77"/>
    <w:rsid w:val="00460C38"/>
    <w:rsid w:val="0046209A"/>
    <w:rsid w:val="004640AC"/>
    <w:rsid w:val="004651F5"/>
    <w:rsid w:val="004665AB"/>
    <w:rsid w:val="00466D0F"/>
    <w:rsid w:val="004719E8"/>
    <w:rsid w:val="00473051"/>
    <w:rsid w:val="00474791"/>
    <w:rsid w:val="00475A5C"/>
    <w:rsid w:val="004834F4"/>
    <w:rsid w:val="0049012A"/>
    <w:rsid w:val="00490E16"/>
    <w:rsid w:val="00491896"/>
    <w:rsid w:val="004923BC"/>
    <w:rsid w:val="004930FF"/>
    <w:rsid w:val="00494F18"/>
    <w:rsid w:val="004967CA"/>
    <w:rsid w:val="00496BE1"/>
    <w:rsid w:val="004A071C"/>
    <w:rsid w:val="004A1069"/>
    <w:rsid w:val="004A3109"/>
    <w:rsid w:val="004B03C7"/>
    <w:rsid w:val="004C3D89"/>
    <w:rsid w:val="004D2C3C"/>
    <w:rsid w:val="004D3202"/>
    <w:rsid w:val="004D4AAB"/>
    <w:rsid w:val="004D6DF1"/>
    <w:rsid w:val="004E25D6"/>
    <w:rsid w:val="004E6515"/>
    <w:rsid w:val="004F0F98"/>
    <w:rsid w:val="004F1411"/>
    <w:rsid w:val="004F6919"/>
    <w:rsid w:val="00501BB8"/>
    <w:rsid w:val="00503E70"/>
    <w:rsid w:val="00504B4D"/>
    <w:rsid w:val="00513751"/>
    <w:rsid w:val="00515E3F"/>
    <w:rsid w:val="005230B0"/>
    <w:rsid w:val="0052554C"/>
    <w:rsid w:val="00530289"/>
    <w:rsid w:val="00530E7C"/>
    <w:rsid w:val="005451EA"/>
    <w:rsid w:val="00547F75"/>
    <w:rsid w:val="00551339"/>
    <w:rsid w:val="00555138"/>
    <w:rsid w:val="00556224"/>
    <w:rsid w:val="005607B8"/>
    <w:rsid w:val="0056089F"/>
    <w:rsid w:val="00560C1E"/>
    <w:rsid w:val="00570B2E"/>
    <w:rsid w:val="00575AEB"/>
    <w:rsid w:val="00576001"/>
    <w:rsid w:val="005773BA"/>
    <w:rsid w:val="005814F4"/>
    <w:rsid w:val="005841B4"/>
    <w:rsid w:val="00584476"/>
    <w:rsid w:val="005847A8"/>
    <w:rsid w:val="00584CA1"/>
    <w:rsid w:val="00587EA5"/>
    <w:rsid w:val="00592190"/>
    <w:rsid w:val="0059385D"/>
    <w:rsid w:val="00594BDE"/>
    <w:rsid w:val="00594FEA"/>
    <w:rsid w:val="00596326"/>
    <w:rsid w:val="0059682D"/>
    <w:rsid w:val="00597D85"/>
    <w:rsid w:val="005A0D82"/>
    <w:rsid w:val="005A6602"/>
    <w:rsid w:val="005B02DB"/>
    <w:rsid w:val="005B1DD3"/>
    <w:rsid w:val="005B574D"/>
    <w:rsid w:val="005B7BF1"/>
    <w:rsid w:val="005C0C4C"/>
    <w:rsid w:val="005C37DE"/>
    <w:rsid w:val="005C42B8"/>
    <w:rsid w:val="005C564A"/>
    <w:rsid w:val="005C693A"/>
    <w:rsid w:val="005D19EF"/>
    <w:rsid w:val="005D19FE"/>
    <w:rsid w:val="005D1CD7"/>
    <w:rsid w:val="005D25E8"/>
    <w:rsid w:val="005D36DE"/>
    <w:rsid w:val="005D4F79"/>
    <w:rsid w:val="005E5BDD"/>
    <w:rsid w:val="005F13AB"/>
    <w:rsid w:val="005F1C4B"/>
    <w:rsid w:val="005F24E9"/>
    <w:rsid w:val="005F3A13"/>
    <w:rsid w:val="005F3DCA"/>
    <w:rsid w:val="005F465E"/>
    <w:rsid w:val="005F57B4"/>
    <w:rsid w:val="006072D6"/>
    <w:rsid w:val="00611A22"/>
    <w:rsid w:val="00612508"/>
    <w:rsid w:val="006127C1"/>
    <w:rsid w:val="006177A9"/>
    <w:rsid w:val="00622CEC"/>
    <w:rsid w:val="006236FD"/>
    <w:rsid w:val="0062447A"/>
    <w:rsid w:val="006252F3"/>
    <w:rsid w:val="006279C0"/>
    <w:rsid w:val="006329E8"/>
    <w:rsid w:val="0063340D"/>
    <w:rsid w:val="006348BC"/>
    <w:rsid w:val="0063574D"/>
    <w:rsid w:val="006416CD"/>
    <w:rsid w:val="00641760"/>
    <w:rsid w:val="00642DB7"/>
    <w:rsid w:val="00642DE1"/>
    <w:rsid w:val="00643DB7"/>
    <w:rsid w:val="00645053"/>
    <w:rsid w:val="00645D16"/>
    <w:rsid w:val="00653FDB"/>
    <w:rsid w:val="00654493"/>
    <w:rsid w:val="006553F0"/>
    <w:rsid w:val="00655FA8"/>
    <w:rsid w:val="0065778A"/>
    <w:rsid w:val="00657AFF"/>
    <w:rsid w:val="006616B4"/>
    <w:rsid w:val="0066288A"/>
    <w:rsid w:val="006646CC"/>
    <w:rsid w:val="006658E0"/>
    <w:rsid w:val="006662EB"/>
    <w:rsid w:val="00666589"/>
    <w:rsid w:val="00667ADA"/>
    <w:rsid w:val="00670D2C"/>
    <w:rsid w:val="00672FCE"/>
    <w:rsid w:val="00676A5F"/>
    <w:rsid w:val="00680111"/>
    <w:rsid w:val="0068064D"/>
    <w:rsid w:val="00682438"/>
    <w:rsid w:val="006830BF"/>
    <w:rsid w:val="00686F66"/>
    <w:rsid w:val="0068755A"/>
    <w:rsid w:val="00690081"/>
    <w:rsid w:val="00691799"/>
    <w:rsid w:val="00693A43"/>
    <w:rsid w:val="00693BA4"/>
    <w:rsid w:val="00696523"/>
    <w:rsid w:val="006A2895"/>
    <w:rsid w:val="006A291F"/>
    <w:rsid w:val="006A35D1"/>
    <w:rsid w:val="006A5B72"/>
    <w:rsid w:val="006A666C"/>
    <w:rsid w:val="006A67C5"/>
    <w:rsid w:val="006B033E"/>
    <w:rsid w:val="006B27F0"/>
    <w:rsid w:val="006B3C46"/>
    <w:rsid w:val="006B50BA"/>
    <w:rsid w:val="006C0197"/>
    <w:rsid w:val="006C09CA"/>
    <w:rsid w:val="006D3D58"/>
    <w:rsid w:val="006D557C"/>
    <w:rsid w:val="006E0276"/>
    <w:rsid w:val="006E2D42"/>
    <w:rsid w:val="006E2E1B"/>
    <w:rsid w:val="006E6B09"/>
    <w:rsid w:val="006E7503"/>
    <w:rsid w:val="006E760C"/>
    <w:rsid w:val="006E7FE0"/>
    <w:rsid w:val="006F07DC"/>
    <w:rsid w:val="006F27AA"/>
    <w:rsid w:val="006F51B3"/>
    <w:rsid w:val="00700465"/>
    <w:rsid w:val="0070203F"/>
    <w:rsid w:val="00705C13"/>
    <w:rsid w:val="0071030D"/>
    <w:rsid w:val="007143CA"/>
    <w:rsid w:val="00714E56"/>
    <w:rsid w:val="0071525B"/>
    <w:rsid w:val="00715E47"/>
    <w:rsid w:val="00720519"/>
    <w:rsid w:val="00727C74"/>
    <w:rsid w:val="00732069"/>
    <w:rsid w:val="007364F2"/>
    <w:rsid w:val="0074050A"/>
    <w:rsid w:val="00744521"/>
    <w:rsid w:val="007471FC"/>
    <w:rsid w:val="00750616"/>
    <w:rsid w:val="00753669"/>
    <w:rsid w:val="00755839"/>
    <w:rsid w:val="00762852"/>
    <w:rsid w:val="00762D12"/>
    <w:rsid w:val="0076347D"/>
    <w:rsid w:val="00764AD1"/>
    <w:rsid w:val="00765483"/>
    <w:rsid w:val="00774605"/>
    <w:rsid w:val="00777EBB"/>
    <w:rsid w:val="00787692"/>
    <w:rsid w:val="00791721"/>
    <w:rsid w:val="00791F6A"/>
    <w:rsid w:val="00795478"/>
    <w:rsid w:val="00796505"/>
    <w:rsid w:val="00796526"/>
    <w:rsid w:val="007A30E6"/>
    <w:rsid w:val="007A4A1E"/>
    <w:rsid w:val="007B2F41"/>
    <w:rsid w:val="007B3358"/>
    <w:rsid w:val="007B4755"/>
    <w:rsid w:val="007B5252"/>
    <w:rsid w:val="007B56AF"/>
    <w:rsid w:val="007C0107"/>
    <w:rsid w:val="007C1632"/>
    <w:rsid w:val="007C1B4C"/>
    <w:rsid w:val="007C40D7"/>
    <w:rsid w:val="007C4329"/>
    <w:rsid w:val="007D03DC"/>
    <w:rsid w:val="007D1DD7"/>
    <w:rsid w:val="007D4E98"/>
    <w:rsid w:val="007D639F"/>
    <w:rsid w:val="007E3D67"/>
    <w:rsid w:val="007E3F4A"/>
    <w:rsid w:val="007E73A7"/>
    <w:rsid w:val="007E7B4E"/>
    <w:rsid w:val="007F7CD3"/>
    <w:rsid w:val="00800B78"/>
    <w:rsid w:val="00804CA1"/>
    <w:rsid w:val="0080521E"/>
    <w:rsid w:val="008054B7"/>
    <w:rsid w:val="0081457B"/>
    <w:rsid w:val="008168F9"/>
    <w:rsid w:val="00820340"/>
    <w:rsid w:val="00830501"/>
    <w:rsid w:val="00831A92"/>
    <w:rsid w:val="00833354"/>
    <w:rsid w:val="008333F9"/>
    <w:rsid w:val="008339E1"/>
    <w:rsid w:val="008368C3"/>
    <w:rsid w:val="00836E34"/>
    <w:rsid w:val="00836E69"/>
    <w:rsid w:val="008374CC"/>
    <w:rsid w:val="008400E9"/>
    <w:rsid w:val="008451B0"/>
    <w:rsid w:val="00845AF3"/>
    <w:rsid w:val="00846E33"/>
    <w:rsid w:val="008514C7"/>
    <w:rsid w:val="00856788"/>
    <w:rsid w:val="00856838"/>
    <w:rsid w:val="00856A6D"/>
    <w:rsid w:val="00863FAD"/>
    <w:rsid w:val="0086666D"/>
    <w:rsid w:val="00870726"/>
    <w:rsid w:val="00870F54"/>
    <w:rsid w:val="008762FE"/>
    <w:rsid w:val="00876344"/>
    <w:rsid w:val="00876EA6"/>
    <w:rsid w:val="008812B0"/>
    <w:rsid w:val="0088557B"/>
    <w:rsid w:val="0088557C"/>
    <w:rsid w:val="00893634"/>
    <w:rsid w:val="0089371E"/>
    <w:rsid w:val="00896459"/>
    <w:rsid w:val="008964E5"/>
    <w:rsid w:val="008A1B30"/>
    <w:rsid w:val="008A39B5"/>
    <w:rsid w:val="008A5A89"/>
    <w:rsid w:val="008B071F"/>
    <w:rsid w:val="008B137A"/>
    <w:rsid w:val="008B286C"/>
    <w:rsid w:val="008B38C4"/>
    <w:rsid w:val="008B6166"/>
    <w:rsid w:val="008B6371"/>
    <w:rsid w:val="008C2740"/>
    <w:rsid w:val="008C5F33"/>
    <w:rsid w:val="008D06F8"/>
    <w:rsid w:val="008D2AEE"/>
    <w:rsid w:val="008D2F6E"/>
    <w:rsid w:val="008D4921"/>
    <w:rsid w:val="008D5CDD"/>
    <w:rsid w:val="008F071C"/>
    <w:rsid w:val="008F0FB8"/>
    <w:rsid w:val="008F2528"/>
    <w:rsid w:val="008F2DDD"/>
    <w:rsid w:val="008F4368"/>
    <w:rsid w:val="008F448A"/>
    <w:rsid w:val="008F58CB"/>
    <w:rsid w:val="009004F4"/>
    <w:rsid w:val="009033E0"/>
    <w:rsid w:val="009075FE"/>
    <w:rsid w:val="00913EC3"/>
    <w:rsid w:val="00917CD4"/>
    <w:rsid w:val="00921E6E"/>
    <w:rsid w:val="00922159"/>
    <w:rsid w:val="00923F82"/>
    <w:rsid w:val="00924C0F"/>
    <w:rsid w:val="00926178"/>
    <w:rsid w:val="0092656A"/>
    <w:rsid w:val="009279EC"/>
    <w:rsid w:val="00937372"/>
    <w:rsid w:val="00943F16"/>
    <w:rsid w:val="009445F2"/>
    <w:rsid w:val="00947125"/>
    <w:rsid w:val="00951B15"/>
    <w:rsid w:val="00955B28"/>
    <w:rsid w:val="00963258"/>
    <w:rsid w:val="00965F48"/>
    <w:rsid w:val="009666A9"/>
    <w:rsid w:val="00967C3A"/>
    <w:rsid w:val="009745FB"/>
    <w:rsid w:val="00975733"/>
    <w:rsid w:val="009770E4"/>
    <w:rsid w:val="00982691"/>
    <w:rsid w:val="00982F5F"/>
    <w:rsid w:val="0098407A"/>
    <w:rsid w:val="0098792A"/>
    <w:rsid w:val="009910D3"/>
    <w:rsid w:val="00992CE4"/>
    <w:rsid w:val="00994627"/>
    <w:rsid w:val="00994BD3"/>
    <w:rsid w:val="009A1013"/>
    <w:rsid w:val="009A25E6"/>
    <w:rsid w:val="009B09D8"/>
    <w:rsid w:val="009B2C89"/>
    <w:rsid w:val="009C4BBD"/>
    <w:rsid w:val="009C63CC"/>
    <w:rsid w:val="009C7EE4"/>
    <w:rsid w:val="009D1A89"/>
    <w:rsid w:val="009D2609"/>
    <w:rsid w:val="009D2CA3"/>
    <w:rsid w:val="009E1571"/>
    <w:rsid w:val="009E5E87"/>
    <w:rsid w:val="009E63A9"/>
    <w:rsid w:val="009E737F"/>
    <w:rsid w:val="009F0676"/>
    <w:rsid w:val="009F5FCA"/>
    <w:rsid w:val="009F73C8"/>
    <w:rsid w:val="00A00228"/>
    <w:rsid w:val="00A13332"/>
    <w:rsid w:val="00A14731"/>
    <w:rsid w:val="00A17848"/>
    <w:rsid w:val="00A207EC"/>
    <w:rsid w:val="00A22524"/>
    <w:rsid w:val="00A23313"/>
    <w:rsid w:val="00A240AE"/>
    <w:rsid w:val="00A258CD"/>
    <w:rsid w:val="00A31162"/>
    <w:rsid w:val="00A35CBA"/>
    <w:rsid w:val="00A37E6F"/>
    <w:rsid w:val="00A41A67"/>
    <w:rsid w:val="00A42ABB"/>
    <w:rsid w:val="00A44CF8"/>
    <w:rsid w:val="00A4791A"/>
    <w:rsid w:val="00A510B6"/>
    <w:rsid w:val="00A531BA"/>
    <w:rsid w:val="00A53512"/>
    <w:rsid w:val="00A54021"/>
    <w:rsid w:val="00A55A53"/>
    <w:rsid w:val="00A6086F"/>
    <w:rsid w:val="00A60D47"/>
    <w:rsid w:val="00A610AB"/>
    <w:rsid w:val="00A622F3"/>
    <w:rsid w:val="00A66EEF"/>
    <w:rsid w:val="00A70344"/>
    <w:rsid w:val="00A71B36"/>
    <w:rsid w:val="00A82F36"/>
    <w:rsid w:val="00A8369C"/>
    <w:rsid w:val="00A97933"/>
    <w:rsid w:val="00AA0154"/>
    <w:rsid w:val="00AA400D"/>
    <w:rsid w:val="00AA5F16"/>
    <w:rsid w:val="00AB34D1"/>
    <w:rsid w:val="00AB51B6"/>
    <w:rsid w:val="00AB6A59"/>
    <w:rsid w:val="00AC1380"/>
    <w:rsid w:val="00AC1A63"/>
    <w:rsid w:val="00AC26D5"/>
    <w:rsid w:val="00AC3280"/>
    <w:rsid w:val="00AC354A"/>
    <w:rsid w:val="00AC427E"/>
    <w:rsid w:val="00AC4DD1"/>
    <w:rsid w:val="00AC511B"/>
    <w:rsid w:val="00AC6844"/>
    <w:rsid w:val="00AD4C0E"/>
    <w:rsid w:val="00AD5DF0"/>
    <w:rsid w:val="00AD73D5"/>
    <w:rsid w:val="00AE369D"/>
    <w:rsid w:val="00AE6DEE"/>
    <w:rsid w:val="00AF0ADB"/>
    <w:rsid w:val="00AF0FBB"/>
    <w:rsid w:val="00AF77CE"/>
    <w:rsid w:val="00B014DA"/>
    <w:rsid w:val="00B046BC"/>
    <w:rsid w:val="00B05908"/>
    <w:rsid w:val="00B05CF1"/>
    <w:rsid w:val="00B107BA"/>
    <w:rsid w:val="00B115CE"/>
    <w:rsid w:val="00B118D7"/>
    <w:rsid w:val="00B12CEC"/>
    <w:rsid w:val="00B2282E"/>
    <w:rsid w:val="00B241EF"/>
    <w:rsid w:val="00B26422"/>
    <w:rsid w:val="00B26C12"/>
    <w:rsid w:val="00B30416"/>
    <w:rsid w:val="00B335CE"/>
    <w:rsid w:val="00B33EAB"/>
    <w:rsid w:val="00B342AC"/>
    <w:rsid w:val="00B35F5C"/>
    <w:rsid w:val="00B40095"/>
    <w:rsid w:val="00B40C5F"/>
    <w:rsid w:val="00B46661"/>
    <w:rsid w:val="00B46F5E"/>
    <w:rsid w:val="00B55581"/>
    <w:rsid w:val="00B5746F"/>
    <w:rsid w:val="00B62C60"/>
    <w:rsid w:val="00B63705"/>
    <w:rsid w:val="00B65891"/>
    <w:rsid w:val="00B7076B"/>
    <w:rsid w:val="00B70AFC"/>
    <w:rsid w:val="00B72ED0"/>
    <w:rsid w:val="00B734EE"/>
    <w:rsid w:val="00B80E4C"/>
    <w:rsid w:val="00B8167C"/>
    <w:rsid w:val="00B8461F"/>
    <w:rsid w:val="00B85A21"/>
    <w:rsid w:val="00B86BA2"/>
    <w:rsid w:val="00B908E1"/>
    <w:rsid w:val="00B911C2"/>
    <w:rsid w:val="00B93D17"/>
    <w:rsid w:val="00B96653"/>
    <w:rsid w:val="00B9696D"/>
    <w:rsid w:val="00B97EE7"/>
    <w:rsid w:val="00BA02A3"/>
    <w:rsid w:val="00BA3A24"/>
    <w:rsid w:val="00BA6193"/>
    <w:rsid w:val="00BA74B2"/>
    <w:rsid w:val="00BB15C2"/>
    <w:rsid w:val="00BB4AF8"/>
    <w:rsid w:val="00BB745D"/>
    <w:rsid w:val="00BC0FD4"/>
    <w:rsid w:val="00BC30D1"/>
    <w:rsid w:val="00BC3FC8"/>
    <w:rsid w:val="00BC68CA"/>
    <w:rsid w:val="00BD0FF2"/>
    <w:rsid w:val="00BD1B74"/>
    <w:rsid w:val="00BD21E5"/>
    <w:rsid w:val="00BD23EC"/>
    <w:rsid w:val="00BD4F0B"/>
    <w:rsid w:val="00BD5AC6"/>
    <w:rsid w:val="00BE0781"/>
    <w:rsid w:val="00BE33D9"/>
    <w:rsid w:val="00BE3702"/>
    <w:rsid w:val="00BE4E9A"/>
    <w:rsid w:val="00BE6DEC"/>
    <w:rsid w:val="00BF0F13"/>
    <w:rsid w:val="00BF31C1"/>
    <w:rsid w:val="00BF562F"/>
    <w:rsid w:val="00BF6932"/>
    <w:rsid w:val="00C0079F"/>
    <w:rsid w:val="00C01471"/>
    <w:rsid w:val="00C01E67"/>
    <w:rsid w:val="00C0285F"/>
    <w:rsid w:val="00C02B12"/>
    <w:rsid w:val="00C07F22"/>
    <w:rsid w:val="00C1087D"/>
    <w:rsid w:val="00C11887"/>
    <w:rsid w:val="00C15791"/>
    <w:rsid w:val="00C17AAC"/>
    <w:rsid w:val="00C21BE0"/>
    <w:rsid w:val="00C22229"/>
    <w:rsid w:val="00C225B8"/>
    <w:rsid w:val="00C22C86"/>
    <w:rsid w:val="00C2402D"/>
    <w:rsid w:val="00C321AA"/>
    <w:rsid w:val="00C42AB7"/>
    <w:rsid w:val="00C479EC"/>
    <w:rsid w:val="00C50375"/>
    <w:rsid w:val="00C53C88"/>
    <w:rsid w:val="00C609F7"/>
    <w:rsid w:val="00C6172C"/>
    <w:rsid w:val="00C65121"/>
    <w:rsid w:val="00C672DC"/>
    <w:rsid w:val="00C70C6E"/>
    <w:rsid w:val="00C80B77"/>
    <w:rsid w:val="00C8244D"/>
    <w:rsid w:val="00C84283"/>
    <w:rsid w:val="00C85B42"/>
    <w:rsid w:val="00C9039C"/>
    <w:rsid w:val="00C90896"/>
    <w:rsid w:val="00C94A01"/>
    <w:rsid w:val="00C95872"/>
    <w:rsid w:val="00C96AEA"/>
    <w:rsid w:val="00C96EAC"/>
    <w:rsid w:val="00CA0FEB"/>
    <w:rsid w:val="00CA159E"/>
    <w:rsid w:val="00CA53E2"/>
    <w:rsid w:val="00CA5996"/>
    <w:rsid w:val="00CA5F0E"/>
    <w:rsid w:val="00CA7EC0"/>
    <w:rsid w:val="00CB0682"/>
    <w:rsid w:val="00CB1E0C"/>
    <w:rsid w:val="00CB2594"/>
    <w:rsid w:val="00CB5662"/>
    <w:rsid w:val="00CB7E40"/>
    <w:rsid w:val="00CC09A5"/>
    <w:rsid w:val="00CC0AB6"/>
    <w:rsid w:val="00CC0F0C"/>
    <w:rsid w:val="00CC50F6"/>
    <w:rsid w:val="00CC5812"/>
    <w:rsid w:val="00CD01F1"/>
    <w:rsid w:val="00CD2D6A"/>
    <w:rsid w:val="00CD5EB7"/>
    <w:rsid w:val="00CD7553"/>
    <w:rsid w:val="00CE0687"/>
    <w:rsid w:val="00CE1196"/>
    <w:rsid w:val="00CE3584"/>
    <w:rsid w:val="00CE5BFA"/>
    <w:rsid w:val="00CF6751"/>
    <w:rsid w:val="00CF6B8D"/>
    <w:rsid w:val="00D007FC"/>
    <w:rsid w:val="00D01054"/>
    <w:rsid w:val="00D033EB"/>
    <w:rsid w:val="00D0442B"/>
    <w:rsid w:val="00D044B5"/>
    <w:rsid w:val="00D056B4"/>
    <w:rsid w:val="00D12FC5"/>
    <w:rsid w:val="00D13152"/>
    <w:rsid w:val="00D1363A"/>
    <w:rsid w:val="00D1407C"/>
    <w:rsid w:val="00D15933"/>
    <w:rsid w:val="00D16207"/>
    <w:rsid w:val="00D17986"/>
    <w:rsid w:val="00D215EC"/>
    <w:rsid w:val="00D27BDB"/>
    <w:rsid w:val="00D332D0"/>
    <w:rsid w:val="00D34102"/>
    <w:rsid w:val="00D368B2"/>
    <w:rsid w:val="00D400F6"/>
    <w:rsid w:val="00D401FC"/>
    <w:rsid w:val="00D402C0"/>
    <w:rsid w:val="00D410F3"/>
    <w:rsid w:val="00D41F00"/>
    <w:rsid w:val="00D44B92"/>
    <w:rsid w:val="00D52B7D"/>
    <w:rsid w:val="00D55EFF"/>
    <w:rsid w:val="00D5601E"/>
    <w:rsid w:val="00D57482"/>
    <w:rsid w:val="00D575C9"/>
    <w:rsid w:val="00D60371"/>
    <w:rsid w:val="00D62489"/>
    <w:rsid w:val="00D66483"/>
    <w:rsid w:val="00D67B88"/>
    <w:rsid w:val="00D67FC9"/>
    <w:rsid w:val="00D70CE3"/>
    <w:rsid w:val="00D721F3"/>
    <w:rsid w:val="00D81526"/>
    <w:rsid w:val="00D824FC"/>
    <w:rsid w:val="00D84FAD"/>
    <w:rsid w:val="00D8542B"/>
    <w:rsid w:val="00D860A6"/>
    <w:rsid w:val="00D9258F"/>
    <w:rsid w:val="00D93693"/>
    <w:rsid w:val="00D93C1B"/>
    <w:rsid w:val="00D95393"/>
    <w:rsid w:val="00D96570"/>
    <w:rsid w:val="00D96CBD"/>
    <w:rsid w:val="00DA60E2"/>
    <w:rsid w:val="00DB2FC4"/>
    <w:rsid w:val="00DC11B8"/>
    <w:rsid w:val="00DC6F5C"/>
    <w:rsid w:val="00DD2552"/>
    <w:rsid w:val="00DD471C"/>
    <w:rsid w:val="00DD6815"/>
    <w:rsid w:val="00DD7BE0"/>
    <w:rsid w:val="00DD7E7E"/>
    <w:rsid w:val="00DE015D"/>
    <w:rsid w:val="00DE0475"/>
    <w:rsid w:val="00DE4DD0"/>
    <w:rsid w:val="00DE7CD2"/>
    <w:rsid w:val="00DF1FFD"/>
    <w:rsid w:val="00DF29CA"/>
    <w:rsid w:val="00DF34C8"/>
    <w:rsid w:val="00DF6F11"/>
    <w:rsid w:val="00E008B8"/>
    <w:rsid w:val="00E00989"/>
    <w:rsid w:val="00E00D68"/>
    <w:rsid w:val="00E03838"/>
    <w:rsid w:val="00E06445"/>
    <w:rsid w:val="00E112D6"/>
    <w:rsid w:val="00E15AD1"/>
    <w:rsid w:val="00E174EB"/>
    <w:rsid w:val="00E20426"/>
    <w:rsid w:val="00E2618B"/>
    <w:rsid w:val="00E273E8"/>
    <w:rsid w:val="00E313B1"/>
    <w:rsid w:val="00E3364A"/>
    <w:rsid w:val="00E34AD2"/>
    <w:rsid w:val="00E356DC"/>
    <w:rsid w:val="00E43D71"/>
    <w:rsid w:val="00E450C2"/>
    <w:rsid w:val="00E51205"/>
    <w:rsid w:val="00E57981"/>
    <w:rsid w:val="00E62801"/>
    <w:rsid w:val="00E66496"/>
    <w:rsid w:val="00E67010"/>
    <w:rsid w:val="00E70542"/>
    <w:rsid w:val="00E72C2F"/>
    <w:rsid w:val="00E81852"/>
    <w:rsid w:val="00E82A56"/>
    <w:rsid w:val="00E872C3"/>
    <w:rsid w:val="00E87566"/>
    <w:rsid w:val="00E87F02"/>
    <w:rsid w:val="00E94956"/>
    <w:rsid w:val="00EA156D"/>
    <w:rsid w:val="00EA3B43"/>
    <w:rsid w:val="00EB06A0"/>
    <w:rsid w:val="00EB0AF0"/>
    <w:rsid w:val="00EB1B38"/>
    <w:rsid w:val="00EB1B5D"/>
    <w:rsid w:val="00EB42C8"/>
    <w:rsid w:val="00EB6F44"/>
    <w:rsid w:val="00EC240D"/>
    <w:rsid w:val="00EC37D4"/>
    <w:rsid w:val="00EC4569"/>
    <w:rsid w:val="00EC4A25"/>
    <w:rsid w:val="00EC64E2"/>
    <w:rsid w:val="00EC7F2F"/>
    <w:rsid w:val="00ED322D"/>
    <w:rsid w:val="00ED465B"/>
    <w:rsid w:val="00ED52C4"/>
    <w:rsid w:val="00EE155D"/>
    <w:rsid w:val="00EE2017"/>
    <w:rsid w:val="00EE52A2"/>
    <w:rsid w:val="00EE5845"/>
    <w:rsid w:val="00EE5F04"/>
    <w:rsid w:val="00EE60D8"/>
    <w:rsid w:val="00EF11AE"/>
    <w:rsid w:val="00EF1D9E"/>
    <w:rsid w:val="00EF4908"/>
    <w:rsid w:val="00EF4A26"/>
    <w:rsid w:val="00EF4C29"/>
    <w:rsid w:val="00EF561E"/>
    <w:rsid w:val="00F0201E"/>
    <w:rsid w:val="00F0427F"/>
    <w:rsid w:val="00F042CE"/>
    <w:rsid w:val="00F04921"/>
    <w:rsid w:val="00F10752"/>
    <w:rsid w:val="00F10D09"/>
    <w:rsid w:val="00F151AF"/>
    <w:rsid w:val="00F1598F"/>
    <w:rsid w:val="00F15CCB"/>
    <w:rsid w:val="00F17239"/>
    <w:rsid w:val="00F17AA5"/>
    <w:rsid w:val="00F21718"/>
    <w:rsid w:val="00F32EED"/>
    <w:rsid w:val="00F33736"/>
    <w:rsid w:val="00F33958"/>
    <w:rsid w:val="00F36204"/>
    <w:rsid w:val="00F37664"/>
    <w:rsid w:val="00F4440C"/>
    <w:rsid w:val="00F4674D"/>
    <w:rsid w:val="00F47478"/>
    <w:rsid w:val="00F51454"/>
    <w:rsid w:val="00F546E0"/>
    <w:rsid w:val="00F60D5C"/>
    <w:rsid w:val="00F636B0"/>
    <w:rsid w:val="00F64425"/>
    <w:rsid w:val="00F72BD6"/>
    <w:rsid w:val="00F72E22"/>
    <w:rsid w:val="00F77518"/>
    <w:rsid w:val="00F84628"/>
    <w:rsid w:val="00F85421"/>
    <w:rsid w:val="00F8571E"/>
    <w:rsid w:val="00F97644"/>
    <w:rsid w:val="00FA292F"/>
    <w:rsid w:val="00FA3EE9"/>
    <w:rsid w:val="00FA4141"/>
    <w:rsid w:val="00FB2690"/>
    <w:rsid w:val="00FC0359"/>
    <w:rsid w:val="00FC17A7"/>
    <w:rsid w:val="00FC18D7"/>
    <w:rsid w:val="00FC7294"/>
    <w:rsid w:val="00FD230C"/>
    <w:rsid w:val="00FD2E93"/>
    <w:rsid w:val="00FD6668"/>
    <w:rsid w:val="00FE6751"/>
    <w:rsid w:val="00FF1CD1"/>
    <w:rsid w:val="00FF37F2"/>
    <w:rsid w:val="00FF420A"/>
    <w:rsid w:val="00FF4F6B"/>
    <w:rsid w:val="011528D6"/>
    <w:rsid w:val="01AE5A34"/>
    <w:rsid w:val="026D000E"/>
    <w:rsid w:val="02D97FC9"/>
    <w:rsid w:val="02E81168"/>
    <w:rsid w:val="034C0F5F"/>
    <w:rsid w:val="03A3109A"/>
    <w:rsid w:val="043F7655"/>
    <w:rsid w:val="08704C3D"/>
    <w:rsid w:val="08F33707"/>
    <w:rsid w:val="09A62F08"/>
    <w:rsid w:val="0A3B3A12"/>
    <w:rsid w:val="0A537EF1"/>
    <w:rsid w:val="0B007A36"/>
    <w:rsid w:val="0BA77341"/>
    <w:rsid w:val="0BF53950"/>
    <w:rsid w:val="0CEB0EAF"/>
    <w:rsid w:val="0F3E507D"/>
    <w:rsid w:val="139A4177"/>
    <w:rsid w:val="140A190F"/>
    <w:rsid w:val="14486C31"/>
    <w:rsid w:val="145B454B"/>
    <w:rsid w:val="14F06901"/>
    <w:rsid w:val="16ED1F18"/>
    <w:rsid w:val="17BB41D9"/>
    <w:rsid w:val="17BE0458"/>
    <w:rsid w:val="17D842CB"/>
    <w:rsid w:val="1A011C20"/>
    <w:rsid w:val="1A125967"/>
    <w:rsid w:val="1A341277"/>
    <w:rsid w:val="1A901650"/>
    <w:rsid w:val="1C760C37"/>
    <w:rsid w:val="1CE9400E"/>
    <w:rsid w:val="1F1E3ED3"/>
    <w:rsid w:val="213165FE"/>
    <w:rsid w:val="230320C0"/>
    <w:rsid w:val="233D259C"/>
    <w:rsid w:val="25C663DF"/>
    <w:rsid w:val="2613697E"/>
    <w:rsid w:val="2776361F"/>
    <w:rsid w:val="281C329B"/>
    <w:rsid w:val="2A516A28"/>
    <w:rsid w:val="2BFF331C"/>
    <w:rsid w:val="2E4E6F47"/>
    <w:rsid w:val="2E7110F5"/>
    <w:rsid w:val="2FB34F87"/>
    <w:rsid w:val="301A6805"/>
    <w:rsid w:val="312F2A3D"/>
    <w:rsid w:val="31FF4D9A"/>
    <w:rsid w:val="321B77BE"/>
    <w:rsid w:val="326F2B46"/>
    <w:rsid w:val="348A16FD"/>
    <w:rsid w:val="34DA2387"/>
    <w:rsid w:val="350A0CE0"/>
    <w:rsid w:val="368806C0"/>
    <w:rsid w:val="369469E5"/>
    <w:rsid w:val="37703F32"/>
    <w:rsid w:val="38A71A12"/>
    <w:rsid w:val="393C1E84"/>
    <w:rsid w:val="3B435E30"/>
    <w:rsid w:val="3B716CC0"/>
    <w:rsid w:val="3CE873E9"/>
    <w:rsid w:val="3D215114"/>
    <w:rsid w:val="3D546646"/>
    <w:rsid w:val="3EE039E7"/>
    <w:rsid w:val="41483F38"/>
    <w:rsid w:val="41983AFC"/>
    <w:rsid w:val="41D015CA"/>
    <w:rsid w:val="454E6764"/>
    <w:rsid w:val="47EC34E4"/>
    <w:rsid w:val="48A82B6B"/>
    <w:rsid w:val="4A1470AD"/>
    <w:rsid w:val="4AFA4B4C"/>
    <w:rsid w:val="4C511110"/>
    <w:rsid w:val="4C59544E"/>
    <w:rsid w:val="4C87430E"/>
    <w:rsid w:val="4CB52A85"/>
    <w:rsid w:val="4D090A1F"/>
    <w:rsid w:val="4E146824"/>
    <w:rsid w:val="4E4D295E"/>
    <w:rsid w:val="52795401"/>
    <w:rsid w:val="5346104E"/>
    <w:rsid w:val="53A97C4E"/>
    <w:rsid w:val="54880DC3"/>
    <w:rsid w:val="549F0A29"/>
    <w:rsid w:val="54E4278C"/>
    <w:rsid w:val="553F04E8"/>
    <w:rsid w:val="5586738B"/>
    <w:rsid w:val="569E7711"/>
    <w:rsid w:val="57051E68"/>
    <w:rsid w:val="575C52A6"/>
    <w:rsid w:val="57A842A5"/>
    <w:rsid w:val="59D45077"/>
    <w:rsid w:val="59FC2223"/>
    <w:rsid w:val="5A9C52BA"/>
    <w:rsid w:val="5D897D52"/>
    <w:rsid w:val="5DDD3BC2"/>
    <w:rsid w:val="5FC0075D"/>
    <w:rsid w:val="6166271B"/>
    <w:rsid w:val="62532611"/>
    <w:rsid w:val="6309674F"/>
    <w:rsid w:val="646D1A0E"/>
    <w:rsid w:val="65AC433B"/>
    <w:rsid w:val="65E81DAF"/>
    <w:rsid w:val="66000513"/>
    <w:rsid w:val="66E118C4"/>
    <w:rsid w:val="673C7ABB"/>
    <w:rsid w:val="676904C5"/>
    <w:rsid w:val="6995541C"/>
    <w:rsid w:val="6A716A58"/>
    <w:rsid w:val="6BE94FD9"/>
    <w:rsid w:val="6C1C467D"/>
    <w:rsid w:val="6C220929"/>
    <w:rsid w:val="6DB865A4"/>
    <w:rsid w:val="7042507E"/>
    <w:rsid w:val="71624E05"/>
    <w:rsid w:val="7214258E"/>
    <w:rsid w:val="721A0BA0"/>
    <w:rsid w:val="722C63DB"/>
    <w:rsid w:val="72683C4F"/>
    <w:rsid w:val="728813F0"/>
    <w:rsid w:val="737A5923"/>
    <w:rsid w:val="73CE5085"/>
    <w:rsid w:val="74F53BAB"/>
    <w:rsid w:val="752252E9"/>
    <w:rsid w:val="764E2496"/>
    <w:rsid w:val="77502E52"/>
    <w:rsid w:val="77715E4F"/>
    <w:rsid w:val="7812475F"/>
    <w:rsid w:val="796C7F1D"/>
    <w:rsid w:val="796F43B0"/>
    <w:rsid w:val="7B520D65"/>
    <w:rsid w:val="7BED4F51"/>
    <w:rsid w:val="7C067CB4"/>
    <w:rsid w:val="7C0927FD"/>
    <w:rsid w:val="7C697CB2"/>
    <w:rsid w:val="7DE4470A"/>
    <w:rsid w:val="7E6026B0"/>
    <w:rsid w:val="7E990C1C"/>
    <w:rsid w:val="7EAE4D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00" w:lineRule="exact"/>
      <w:ind w:firstLine="200" w:firstLineChars="200"/>
      <w:jc w:val="both"/>
    </w:pPr>
    <w:rPr>
      <w:rFonts w:ascii="Arial" w:hAnsi="Arial" w:eastAsia="仿宋_GB2312" w:cs="宋体"/>
      <w:kern w:val="2"/>
      <w:sz w:val="28"/>
      <w:szCs w:val="21"/>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0"/>
    <w:qFormat/>
    <w:uiPriority w:val="99"/>
    <w:pPr>
      <w:jc w:val="left"/>
    </w:pPr>
  </w:style>
  <w:style w:type="paragraph" w:styleId="3">
    <w:name w:val="Date"/>
    <w:basedOn w:val="1"/>
    <w:next w:val="1"/>
    <w:link w:val="19"/>
    <w:qFormat/>
    <w:uiPriority w:val="99"/>
    <w:pPr>
      <w:ind w:left="100" w:leftChars="2500"/>
    </w:pPr>
  </w:style>
  <w:style w:type="paragraph" w:styleId="4">
    <w:name w:val="Balloon Text"/>
    <w:basedOn w:val="1"/>
    <w:link w:val="17"/>
    <w:qFormat/>
    <w:uiPriority w:val="99"/>
    <w:pPr>
      <w:spacing w:line="240" w:lineRule="auto"/>
    </w:pPr>
    <w:rPr>
      <w:sz w:val="18"/>
      <w:szCs w:val="18"/>
    </w:rPr>
  </w:style>
  <w:style w:type="paragraph" w:styleId="5">
    <w:name w:val="footer"/>
    <w:link w:val="15"/>
    <w:qFormat/>
    <w:uiPriority w:val="99"/>
    <w:pPr>
      <w:tabs>
        <w:tab w:val="center" w:pos="4153"/>
        <w:tab w:val="right" w:pos="8306"/>
      </w:tabs>
      <w:snapToGrid w:val="0"/>
    </w:pPr>
    <w:rPr>
      <w:rFonts w:ascii="Arial" w:hAnsi="Arial" w:eastAsia="宋体" w:cs="宋体"/>
      <w:kern w:val="2"/>
      <w:sz w:val="14"/>
      <w:szCs w:val="18"/>
      <w:lang w:val="en-US" w:eastAsia="zh-CN" w:bidi="ar-SA"/>
    </w:rPr>
  </w:style>
  <w:style w:type="paragraph" w:styleId="6">
    <w:name w:val="header"/>
    <w:link w:val="14"/>
    <w:qFormat/>
    <w:uiPriority w:val="99"/>
    <w:pPr>
      <w:tabs>
        <w:tab w:val="center" w:pos="4153"/>
        <w:tab w:val="right" w:pos="8306"/>
      </w:tabs>
      <w:snapToGrid w:val="0"/>
      <w:jc w:val="right"/>
    </w:pPr>
    <w:rPr>
      <w:rFonts w:ascii="Arial" w:hAnsi="Arial" w:eastAsia="宋体" w:cs="宋体"/>
      <w:kern w:val="2"/>
      <w:sz w:val="14"/>
      <w:szCs w:val="18"/>
      <w:lang w:val="en-US" w:eastAsia="zh-CN" w:bidi="ar-SA"/>
    </w:rPr>
  </w:style>
  <w:style w:type="paragraph" w:styleId="7">
    <w:name w:val="Title"/>
    <w:next w:val="1"/>
    <w:link w:val="16"/>
    <w:qFormat/>
    <w:uiPriority w:val="10"/>
    <w:pPr>
      <w:spacing w:before="360" w:after="360" w:line="360" w:lineRule="auto"/>
      <w:jc w:val="center"/>
      <w:outlineLvl w:val="0"/>
    </w:pPr>
    <w:rPr>
      <w:rFonts w:ascii="Arial" w:hAnsi="Arial" w:eastAsia="华文中宋" w:cs="宋体"/>
      <w:b/>
      <w:bCs/>
      <w:kern w:val="2"/>
      <w:sz w:val="36"/>
      <w:szCs w:val="32"/>
      <w:lang w:val="en-US" w:eastAsia="zh-CN" w:bidi="ar-SA"/>
    </w:rPr>
  </w:style>
  <w:style w:type="paragraph" w:styleId="8">
    <w:name w:val="annotation subject"/>
    <w:basedOn w:val="2"/>
    <w:next w:val="2"/>
    <w:link w:val="21"/>
    <w:qFormat/>
    <w:uiPriority w:val="99"/>
    <w:rPr>
      <w:b/>
      <w:bCs/>
    </w:rPr>
  </w:style>
  <w:style w:type="table" w:styleId="10">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Hyperlink"/>
    <w:basedOn w:val="11"/>
    <w:qFormat/>
    <w:uiPriority w:val="99"/>
    <w:rPr>
      <w:color w:val="0000FF"/>
      <w:u w:val="single"/>
    </w:rPr>
  </w:style>
  <w:style w:type="character" w:styleId="13">
    <w:name w:val="annotation reference"/>
    <w:basedOn w:val="11"/>
    <w:qFormat/>
    <w:uiPriority w:val="99"/>
    <w:rPr>
      <w:sz w:val="21"/>
      <w:szCs w:val="21"/>
    </w:rPr>
  </w:style>
  <w:style w:type="character" w:customStyle="1" w:styleId="14">
    <w:name w:val="页眉 字符"/>
    <w:basedOn w:val="11"/>
    <w:link w:val="6"/>
    <w:qFormat/>
    <w:uiPriority w:val="99"/>
    <w:rPr>
      <w:rFonts w:ascii="Arial" w:hAnsi="Arial" w:eastAsia="宋体"/>
      <w:sz w:val="14"/>
      <w:szCs w:val="18"/>
    </w:rPr>
  </w:style>
  <w:style w:type="character" w:customStyle="1" w:styleId="15">
    <w:name w:val="页脚 字符"/>
    <w:basedOn w:val="11"/>
    <w:link w:val="5"/>
    <w:qFormat/>
    <w:uiPriority w:val="99"/>
    <w:rPr>
      <w:rFonts w:ascii="Arial" w:hAnsi="Arial" w:eastAsia="宋体"/>
      <w:sz w:val="14"/>
      <w:szCs w:val="18"/>
    </w:rPr>
  </w:style>
  <w:style w:type="character" w:customStyle="1" w:styleId="16">
    <w:name w:val="标题 字符"/>
    <w:basedOn w:val="11"/>
    <w:link w:val="7"/>
    <w:qFormat/>
    <w:uiPriority w:val="10"/>
    <w:rPr>
      <w:rFonts w:ascii="Arial" w:hAnsi="Arial" w:eastAsia="华文中宋" w:cs="宋体"/>
      <w:b/>
      <w:bCs/>
      <w:sz w:val="36"/>
      <w:szCs w:val="32"/>
    </w:rPr>
  </w:style>
  <w:style w:type="character" w:customStyle="1" w:styleId="17">
    <w:name w:val="批注框文本 字符"/>
    <w:basedOn w:val="11"/>
    <w:link w:val="4"/>
    <w:qFormat/>
    <w:uiPriority w:val="99"/>
    <w:rPr>
      <w:rFonts w:ascii="Arial" w:hAnsi="Arial" w:eastAsia="仿宋_GB2312"/>
      <w:sz w:val="18"/>
      <w:szCs w:val="18"/>
    </w:rPr>
  </w:style>
  <w:style w:type="paragraph" w:customStyle="1" w:styleId="18">
    <w:name w:val="列出段落1"/>
    <w:basedOn w:val="1"/>
    <w:qFormat/>
    <w:uiPriority w:val="34"/>
    <w:pPr>
      <w:ind w:firstLine="420"/>
    </w:pPr>
  </w:style>
  <w:style w:type="character" w:customStyle="1" w:styleId="19">
    <w:name w:val="日期 字符"/>
    <w:basedOn w:val="11"/>
    <w:link w:val="3"/>
    <w:qFormat/>
    <w:uiPriority w:val="99"/>
    <w:rPr>
      <w:rFonts w:ascii="Arial" w:hAnsi="Arial" w:eastAsia="仿宋_GB2312"/>
      <w:sz w:val="28"/>
    </w:rPr>
  </w:style>
  <w:style w:type="character" w:customStyle="1" w:styleId="20">
    <w:name w:val="批注文字 字符"/>
    <w:basedOn w:val="11"/>
    <w:link w:val="2"/>
    <w:qFormat/>
    <w:uiPriority w:val="99"/>
    <w:rPr>
      <w:rFonts w:ascii="Arial" w:hAnsi="Arial" w:eastAsia="仿宋_GB2312"/>
      <w:sz w:val="28"/>
    </w:rPr>
  </w:style>
  <w:style w:type="character" w:customStyle="1" w:styleId="21">
    <w:name w:val="批注主题 字符"/>
    <w:basedOn w:val="20"/>
    <w:link w:val="8"/>
    <w:qFormat/>
    <w:uiPriority w:val="99"/>
    <w:rPr>
      <w:rFonts w:ascii="Arial" w:hAnsi="Arial" w:eastAsia="仿宋_GB2312"/>
      <w:b/>
      <w:bCs/>
      <w:sz w:val="28"/>
    </w:rPr>
  </w:style>
  <w:style w:type="paragraph" w:customStyle="1" w:styleId="22">
    <w:name w:val="列出段落2"/>
    <w:basedOn w:val="1"/>
    <w:qFormat/>
    <w:uiPriority w:val="99"/>
    <w:pPr>
      <w:ind w:firstLine="420"/>
    </w:pPr>
  </w:style>
  <w:style w:type="paragraph" w:customStyle="1" w:styleId="23">
    <w:name w:val="列出段落3"/>
    <w:basedOn w:val="1"/>
    <w:qFormat/>
    <w:uiPriority w:val="34"/>
    <w:pPr>
      <w:ind w:firstLine="420"/>
    </w:pPr>
  </w:style>
  <w:style w:type="paragraph" w:styleId="24">
    <w:name w:val="List Paragraph"/>
    <w:basedOn w:val="1"/>
    <w:qFormat/>
    <w:uiPriority w:val="99"/>
    <w:pPr>
      <w:ind w:firstLine="420"/>
    </w:p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5"/>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DC232FE-CE8D-4C5B-9126-756A8E828A28}">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13</Pages>
  <Words>5714</Words>
  <Characters>6111</Characters>
  <Lines>47</Lines>
  <Paragraphs>13</Paragraphs>
  <TotalTime>34</TotalTime>
  <ScaleCrop>false</ScaleCrop>
  <LinksUpToDate>false</LinksUpToDate>
  <CharactersWithSpaces>6522</CharactersWithSpaces>
  <Application>WPS Office_12.1.0.22175_F1E327BC-269C-435d-A152-05C5408002CA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2025-12-17T02:52:00Z</dcterms:created>
  <dc:creator>Dacheng</dc:creator>
  <cp:lastModifiedBy>Ironman</cp:lastModifiedBy>
  <cp:lastPrinted>2020-11-21T13:33:00Z</cp:lastPrinted>
  <dcterms:modified xsi:type="dcterms:W3CDTF">2026-01-09T00:42:05Z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2052-12.1.0.22175</vt:lpwstr>
  </property>
  <property fmtid="{D5CDD505-2E9C-101B-9397-08002B2CF9AE}" pid="3" name="ICV">
    <vt:lpwstr>680662E452C841AA89119BCBCEF3A752</vt:lpwstr>
  </property>
  <property fmtid="{D5CDD505-2E9C-101B-9397-08002B2CF9AE}" pid="4" name="KSOTemplateDocerSaveRecord">
    <vt:lpwstr>eyJoZGlkIjoiNDFlZjE2NjBjMDU3ZTdmMWE3NzY2NjFhN2NjNGJhMDgiLCJ1c2VySWQiOiI5Mzc2ODA4NDkifQ==</vt:lpwstr>
  </property>
</Properties>
</file>