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0BB41"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中高后勤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sz w:val="36"/>
          <w:szCs w:val="36"/>
          <w:u w:val="single"/>
          <w:lang w:val="en-US" w:eastAsia="zh-CN"/>
        </w:rPr>
        <w:t>财务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部/服务中心</w:t>
      </w:r>
    </w:p>
    <w:p w14:paraId="019112D0">
      <w:pPr>
        <w:jc w:val="center"/>
        <w:rPr>
          <w:rFonts w:hint="eastAsia"/>
        </w:rPr>
      </w:pPr>
      <w:r>
        <w:rPr>
          <w:rFonts w:hint="eastAsia" w:ascii="宋体" w:hAnsi="宋体"/>
          <w:b/>
          <w:sz w:val="36"/>
          <w:szCs w:val="36"/>
          <w:u w:val="single"/>
        </w:rPr>
        <w:t>2026</w:t>
      </w:r>
      <w:r>
        <w:rPr>
          <w:rFonts w:ascii="宋体" w:hAnsi="宋体"/>
          <w:b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 xml:space="preserve">年目标计划书 </w:t>
      </w:r>
    </w:p>
    <w:p w14:paraId="2795E48A">
      <w:pPr>
        <w:ind w:firstLine="413" w:firstLineChars="196"/>
        <w:jc w:val="center"/>
        <w:rPr>
          <w:rFonts w:hint="eastAsia" w:ascii="宋体" w:hAnsi="宋体"/>
          <w:b/>
          <w:bCs/>
          <w:szCs w:val="21"/>
          <w:lang w:val="en-US" w:eastAsia="zh-CN"/>
        </w:rPr>
      </w:pPr>
    </w:p>
    <w:p w14:paraId="7DB51748">
      <w:pPr>
        <w:ind w:firstLine="4628" w:firstLineChars="2195"/>
        <w:jc w:val="both"/>
        <w:rPr>
          <w:rFonts w:hint="default" w:ascii="宋体" w:hAnsi="宋体" w:eastAsia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（公司目标分解+部门/项目横向需求  相结合）</w:t>
      </w:r>
    </w:p>
    <w:p w14:paraId="4EF322EA">
      <w:pPr>
        <w:rPr>
          <w:rFonts w:hint="eastAsia" w:ascii="宋体" w:hAnsi="宋体"/>
          <w:b/>
          <w:bCs/>
          <w:sz w:val="28"/>
          <w:szCs w:val="28"/>
        </w:rPr>
      </w:pPr>
    </w:p>
    <w:p w14:paraId="2AA19B82">
      <w:pPr>
        <w:ind w:firstLine="562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编制说明：为顺利实现公司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2026 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年经营管理目标，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>财务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</w:rPr>
        <w:t>部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2026  </w:t>
      </w:r>
      <w:r>
        <w:rPr>
          <w:rFonts w:hint="eastAsia" w:ascii="宋体" w:hAnsi="宋体"/>
          <w:b/>
          <w:bCs/>
          <w:sz w:val="28"/>
          <w:szCs w:val="28"/>
        </w:rPr>
        <w:t>年目标达成如下：</w:t>
      </w:r>
    </w:p>
    <w:p w14:paraId="6E52A545">
      <w:pPr>
        <w:ind w:firstLine="1956" w:firstLineChars="696"/>
        <w:rPr>
          <w:rFonts w:hint="eastAsia" w:ascii="宋体" w:hAnsi="宋体"/>
          <w:b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</w:rPr>
        <w:t>关键词：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业财融合、预算管控、经营分析</w:t>
      </w:r>
    </w:p>
    <w:p w14:paraId="203C9CF5">
      <w:pPr>
        <w:ind w:firstLine="1956" w:firstLineChars="696"/>
        <w:rPr>
          <w:rFonts w:hint="eastAsia" w:ascii="宋体" w:hAnsi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</w:rPr>
        <w:t>目标实现的描述：</w:t>
      </w:r>
    </w:p>
    <w:p w14:paraId="38D8D6A3">
      <w:pPr>
        <w:numPr>
          <w:ilvl w:val="0"/>
          <w:numId w:val="0"/>
        </w:numPr>
        <w:spacing w:line="480" w:lineRule="auto"/>
        <w:ind w:left="840" w:leftChars="0"/>
        <w:rPr>
          <w:rFonts w:hint="eastAsia" w:ascii="宋体" w:hAnsi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1.对比预算与实际支出差异，分析差异原因（如人工超支，物资涨价），为续标预算编制提供修正参考 </w:t>
      </w:r>
    </w:p>
    <w:p w14:paraId="1973C196">
      <w:pPr>
        <w:numPr>
          <w:ilvl w:val="0"/>
          <w:numId w:val="0"/>
        </w:numPr>
        <w:spacing w:line="480" w:lineRule="auto"/>
        <w:ind w:left="840" w:leftChars="0"/>
        <w:jc w:val="left"/>
        <w:rPr>
          <w:rFonts w:hint="default" w:ascii="宋体" w:hAnsi="宋体"/>
          <w:b/>
          <w:bCs/>
          <w:color w:val="auto"/>
          <w:sz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2.统计应收账款回款周期、逾期金额及原因</w:t>
      </w:r>
    </w:p>
    <w:p w14:paraId="3117304E">
      <w:pPr>
        <w:numPr>
          <w:ilvl w:val="0"/>
          <w:numId w:val="0"/>
        </w:numPr>
        <w:spacing w:line="480" w:lineRule="auto"/>
        <w:ind w:left="840" w:leftChars="0"/>
        <w:jc w:val="left"/>
        <w:rPr>
          <w:rFonts w:hint="eastAsia"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3.</w:t>
      </w: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>做好各部门/业务板块财务知识培训、财务咨询服务管理工作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</w:p>
    <w:p w14:paraId="6F9E0F8B">
      <w:pPr>
        <w:pStyle w:val="2"/>
        <w:numPr>
          <w:ilvl w:val="0"/>
          <w:numId w:val="0"/>
        </w:numPr>
        <w:ind w:left="840" w:leftChars="0"/>
        <w:rPr>
          <w:rFonts w:hint="eastAsia" w:ascii="宋体" w:hAnsi="宋体" w:eastAsia="宋体" w:cs="Times New Roman"/>
          <w:b w:val="0"/>
          <w:bCs w:val="0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>4.定期组织经营状况分析，为公司总体经营目标的实现和决策提供数据支持</w:t>
      </w:r>
    </w:p>
    <w:p w14:paraId="00E17F24">
      <w:pPr>
        <w:numPr>
          <w:ilvl w:val="0"/>
          <w:numId w:val="0"/>
        </w:numPr>
        <w:ind w:left="840" w:leftChars="0"/>
        <w:rPr>
          <w:rFonts w:hint="eastAsia" w:ascii="宋体" w:hAnsi="宋体" w:eastAsia="宋体" w:cs="Times New Roman"/>
          <w:b w:val="0"/>
          <w:bCs w:val="0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>5.业财融合协同化，从“核算型”转向“业务伙伴型”，将静态的合同档案，转化为动态的价值管理仪表盘</w:t>
      </w:r>
    </w:p>
    <w:p w14:paraId="35EA102D"/>
    <w:p w14:paraId="678EDA65"/>
    <w:tbl>
      <w:tblPr>
        <w:tblStyle w:val="6"/>
        <w:tblW w:w="50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4"/>
        <w:gridCol w:w="10032"/>
      </w:tblGrid>
      <w:tr w14:paraId="01DD2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501" w:type="pct"/>
            <w:noWrap w:val="0"/>
            <w:vAlign w:val="center"/>
          </w:tcPr>
          <w:p w14:paraId="4340E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Cs w:val="21"/>
                <w:lang w:val="en-US" w:eastAsia="zh-CN"/>
              </w:rPr>
              <w:t>新疆公司2026年度指标</w:t>
            </w:r>
          </w:p>
        </w:tc>
        <w:tc>
          <w:tcPr>
            <w:tcW w:w="3498" w:type="pct"/>
            <w:noWrap w:val="0"/>
            <w:vAlign w:val="center"/>
          </w:tcPr>
          <w:p w14:paraId="3C9E5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财务部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2026年指标分解方向（全年能做哪些工作，能帮扶到哪些部门）</w:t>
            </w:r>
          </w:p>
        </w:tc>
      </w:tr>
      <w:tr w14:paraId="179F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501" w:type="pct"/>
            <w:noWrap w:val="0"/>
            <w:vAlign w:val="center"/>
          </w:tcPr>
          <w:p w14:paraId="7F7FC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szCs w:val="21"/>
                <w:lang w:val="en-US" w:eastAsia="zh-CN"/>
              </w:rPr>
              <w:t>老合同收入2522.72万元</w:t>
            </w:r>
          </w:p>
        </w:tc>
        <w:tc>
          <w:tcPr>
            <w:tcW w:w="3498" w:type="pct"/>
            <w:noWrap w:val="0"/>
            <w:vAlign w:val="center"/>
          </w:tcPr>
          <w:p w14:paraId="5C53F6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0" w:afterAutospacing="1"/>
              <w:ind w:left="0" w:leftChars="0"/>
              <w:jc w:val="left"/>
              <w:textAlignment w:val="auto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收费扣款考核：贯彻落实并执行公司应收费管理制度（监督）</w:t>
            </w:r>
          </w:p>
        </w:tc>
      </w:tr>
      <w:tr w14:paraId="0FF1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501" w:type="pct"/>
            <w:noWrap w:val="0"/>
            <w:vAlign w:val="center"/>
          </w:tcPr>
          <w:p w14:paraId="54D95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老合同续标率100%</w:t>
            </w:r>
          </w:p>
        </w:tc>
        <w:tc>
          <w:tcPr>
            <w:tcW w:w="3498" w:type="pct"/>
            <w:noWrap w:val="0"/>
            <w:vAlign w:val="center"/>
          </w:tcPr>
          <w:p w14:paraId="0CDD4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预算充沛情况下提醒项目做增值服务（辅助）</w:t>
            </w:r>
          </w:p>
        </w:tc>
      </w:tr>
      <w:tr w14:paraId="607CE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501" w:type="pct"/>
            <w:noWrap w:val="0"/>
            <w:vAlign w:val="center"/>
          </w:tcPr>
          <w:p w14:paraId="35084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总收入3300万</w:t>
            </w:r>
          </w:p>
        </w:tc>
        <w:tc>
          <w:tcPr>
            <w:tcW w:w="3498" w:type="pct"/>
            <w:noWrap w:val="0"/>
            <w:vAlign w:val="center"/>
          </w:tcPr>
          <w:p w14:paraId="61F3A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  <w:t>控制老项目预算费用成本，向开发部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  <w:t>辅助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  <w:t>新项目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  <w:t>投标决策</w:t>
            </w:r>
          </w:p>
        </w:tc>
      </w:tr>
      <w:tr w14:paraId="154AE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501" w:type="pct"/>
            <w:noWrap w:val="0"/>
            <w:vAlign w:val="center"/>
          </w:tcPr>
          <w:p w14:paraId="57F03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净利润325.29万</w:t>
            </w:r>
          </w:p>
        </w:tc>
        <w:tc>
          <w:tcPr>
            <w:tcW w:w="3498" w:type="pct"/>
            <w:vMerge w:val="restart"/>
            <w:noWrap w:val="0"/>
            <w:vAlign w:val="center"/>
          </w:tcPr>
          <w:p w14:paraId="0A4903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计算老项目实际收入确认进度与成本投入的匹配关系，看是否存在收入虚高或成本前置情况；对毛利率波动超过预算5%的项目进行专项复盘，定位成本偏差原因。</w:t>
            </w:r>
          </w:p>
        </w:tc>
      </w:tr>
      <w:tr w14:paraId="393B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501" w:type="pct"/>
            <w:noWrap w:val="0"/>
            <w:vAlign w:val="center"/>
          </w:tcPr>
          <w:p w14:paraId="0297E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净利率9.87%</w:t>
            </w:r>
          </w:p>
        </w:tc>
        <w:tc>
          <w:tcPr>
            <w:tcW w:w="3498" w:type="pct"/>
            <w:vMerge w:val="continue"/>
            <w:noWrap w:val="0"/>
            <w:vAlign w:val="center"/>
          </w:tcPr>
          <w:p w14:paraId="7C29C04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1C1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501" w:type="pct"/>
            <w:noWrap w:val="0"/>
            <w:vAlign w:val="center"/>
          </w:tcPr>
          <w:p w14:paraId="0BB6E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highlight w:val="none"/>
              </w:rPr>
              <w:t>合格的经营者</w:t>
            </w:r>
          </w:p>
        </w:tc>
        <w:tc>
          <w:tcPr>
            <w:tcW w:w="3498" w:type="pct"/>
            <w:noWrap w:val="0"/>
            <w:vAlign w:val="center"/>
          </w:tcPr>
          <w:p w14:paraId="2FD7D7A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</w:rPr>
              <w:t>财务知识培训</w:t>
            </w:r>
          </w:p>
        </w:tc>
      </w:tr>
    </w:tbl>
    <w:p w14:paraId="431C3FD0"/>
    <w:p w14:paraId="5FF0147B"/>
    <w:p w14:paraId="2E351D01"/>
    <w:p w14:paraId="2A0A722F"/>
    <w:p w14:paraId="3063FEDA">
      <w:pPr>
        <w:numPr>
          <w:ilvl w:val="0"/>
          <w:numId w:val="2"/>
        </w:num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本部门/项目 </w:t>
      </w:r>
      <w:r>
        <w:rPr>
          <w:rFonts w:hint="eastAsia" w:ascii="宋体" w:hAnsi="宋体"/>
          <w:b/>
          <w:bCs/>
          <w:szCs w:val="21"/>
          <w:u w:val="single"/>
        </w:rPr>
        <w:t xml:space="preserve">__2026__ </w:t>
      </w:r>
      <w:r>
        <w:rPr>
          <w:rFonts w:hint="eastAsia" w:ascii="宋体" w:hAnsi="宋体"/>
          <w:b/>
          <w:bCs/>
          <w:szCs w:val="21"/>
        </w:rPr>
        <w:t>年度目标----责</w:t>
      </w:r>
      <w:r>
        <w:rPr>
          <w:rFonts w:hint="eastAsia" w:ascii="宋体" w:hAnsi="宋体"/>
          <w:b/>
          <w:bCs/>
          <w:color w:val="FF0000"/>
          <w:szCs w:val="21"/>
        </w:rPr>
        <w:t>（依据上表的指标分解形成详细的部门目标）</w:t>
      </w:r>
    </w:p>
    <w:p w14:paraId="642C807A">
      <w:pPr>
        <w:rPr>
          <w:rFonts w:hint="eastAsia" w:ascii="宋体" w:hAnsi="宋体"/>
          <w:b/>
          <w:bCs/>
          <w:szCs w:val="21"/>
        </w:rPr>
      </w:pPr>
    </w:p>
    <w:tbl>
      <w:tblPr>
        <w:tblStyle w:val="6"/>
        <w:tblW w:w="13357" w:type="dxa"/>
        <w:tblCellSpacing w:w="0" w:type="dxa"/>
        <w:tblInd w:w="8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2114"/>
        <w:gridCol w:w="2602"/>
        <w:gridCol w:w="1335"/>
        <w:gridCol w:w="1234"/>
        <w:gridCol w:w="1346"/>
        <w:gridCol w:w="2091"/>
        <w:gridCol w:w="1447"/>
      </w:tblGrid>
      <w:tr w14:paraId="5ECE86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</w:trPr>
        <w:tc>
          <w:tcPr>
            <w:tcW w:w="118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41D90D9">
            <w:pPr>
              <w:pStyle w:val="5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2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82653F1">
            <w:pPr>
              <w:pStyle w:val="5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2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AF8FE05">
            <w:pPr>
              <w:pStyle w:val="5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2025年实际</w:t>
            </w:r>
          </w:p>
        </w:tc>
        <w:tc>
          <w:tcPr>
            <w:tcW w:w="3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5D77D46">
            <w:pPr>
              <w:pStyle w:val="5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2026年目标值</w:t>
            </w:r>
          </w:p>
        </w:tc>
        <w:tc>
          <w:tcPr>
            <w:tcW w:w="2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45FF0B5">
            <w:pPr>
              <w:pStyle w:val="5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完成时间</w:t>
            </w: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A8A7C70">
            <w:pPr>
              <w:pStyle w:val="5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责任人</w:t>
            </w:r>
          </w:p>
        </w:tc>
      </w:tr>
      <w:tr w14:paraId="6249DA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212749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8F0B47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778B17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EFE3025">
            <w:pPr>
              <w:pStyle w:val="5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保底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73082D8">
            <w:pPr>
              <w:pStyle w:val="5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合理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DD7412D">
            <w:pPr>
              <w:pStyle w:val="5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挑战</w:t>
            </w:r>
          </w:p>
        </w:tc>
        <w:tc>
          <w:tcPr>
            <w:tcW w:w="2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C05703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3C6DC2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C77E1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111F96C">
            <w:pPr>
              <w:pStyle w:val="5"/>
              <w:ind w:firstLine="211" w:firstLineChars="100"/>
              <w:jc w:val="both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</w:p>
          <w:p w14:paraId="314525E1">
            <w:pPr>
              <w:pStyle w:val="5"/>
              <w:ind w:firstLine="211" w:firstLineChars="100"/>
              <w:jc w:val="both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经营</w:t>
            </w:r>
          </w:p>
          <w:p w14:paraId="0BC098C0">
            <w:pPr>
              <w:pStyle w:val="5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C163C4A">
            <w:pPr>
              <w:pStyle w:val="5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/>
                <w:sz w:val="21"/>
                <w:szCs w:val="21"/>
              </w:rPr>
              <w:t>成本、费用管控</w:t>
            </w:r>
          </w:p>
          <w:p w14:paraId="1316AA98">
            <w:pPr>
              <w:pStyle w:val="5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毛利提升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2D40C02">
            <w:pPr>
              <w:pStyle w:val="5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11.32%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BD2245E">
            <w:pPr>
              <w:pStyle w:val="5"/>
              <w:jc w:val="center"/>
              <w:rPr>
                <w:rFonts w:hint="default" w:eastAsia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与预算目标计划一致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9E44A9D">
            <w:pPr>
              <w:pStyle w:val="5"/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毛利提升0.5%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ECA7C39">
            <w:pPr>
              <w:pStyle w:val="5"/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毛利提升1%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71FF080">
            <w:pPr>
              <w:pStyle w:val="5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2025年12月31日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A54DBA8">
            <w:pPr>
              <w:pStyle w:val="5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杜希龙</w:t>
            </w:r>
          </w:p>
        </w:tc>
      </w:tr>
      <w:tr w14:paraId="7FAD74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5B84E14">
            <w:pPr>
              <w:pStyle w:val="5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管理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68BC0F3">
            <w:pPr>
              <w:pStyle w:val="5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业务标准化率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594575D">
            <w:pPr>
              <w:pStyle w:val="5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未成体系</w:t>
            </w:r>
          </w:p>
        </w:tc>
        <w:tc>
          <w:tcPr>
            <w:tcW w:w="3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142D944">
            <w:pPr>
              <w:pStyle w:val="5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职能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/>
                <w:sz w:val="21"/>
                <w:szCs w:val="21"/>
              </w:rPr>
              <w:t>%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项目85%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97BFB7F">
            <w:pPr>
              <w:pStyle w:val="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2026年12月31日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F43FFFA">
            <w:pPr>
              <w:pStyle w:val="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杜希龙</w:t>
            </w:r>
          </w:p>
        </w:tc>
      </w:tr>
      <w:tr w14:paraId="223433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927BA44">
            <w:pPr>
              <w:pStyle w:val="5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19648D3">
            <w:pPr>
              <w:pStyle w:val="5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  <w:t>客户价值分层分析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BCBF9B0">
            <w:pPr>
              <w:pStyle w:val="5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未进行价值分层</w:t>
            </w:r>
          </w:p>
        </w:tc>
        <w:tc>
          <w:tcPr>
            <w:tcW w:w="3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A191F30">
            <w:pPr>
              <w:pStyle w:val="5"/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  <w:t>对客户进行分层（如A/B/C类）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D3BCDC8">
            <w:pPr>
              <w:pStyle w:val="5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2026年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CDA76DF">
            <w:pPr>
              <w:pStyle w:val="5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杜希龙</w:t>
            </w:r>
          </w:p>
        </w:tc>
      </w:tr>
    </w:tbl>
    <w:p w14:paraId="39A78213"/>
    <w:p w14:paraId="43ABF01B"/>
    <w:p w14:paraId="4ABB6A19"/>
    <w:p w14:paraId="06A605E6"/>
    <w:p w14:paraId="67D8DBB5"/>
    <w:p w14:paraId="6EEA4E89"/>
    <w:p w14:paraId="7936748C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 w:ascii="宋体" w:hAnsi="宋体"/>
          <w:b/>
          <w:bCs/>
          <w:szCs w:val="21"/>
        </w:rPr>
        <w:t>岗位增长点及新增收益表(四个维度中</w:t>
      </w:r>
      <w:r>
        <w:rPr>
          <w:rFonts w:hint="eastAsia" w:ascii="宋体" w:hAnsi="宋体"/>
          <w:b/>
          <w:bCs/>
          <w:color w:val="FF0000"/>
          <w:szCs w:val="21"/>
        </w:rPr>
        <w:t>选填</w:t>
      </w:r>
      <w:r>
        <w:rPr>
          <w:rFonts w:hint="eastAsia" w:ascii="宋体" w:hAnsi="宋体"/>
          <w:b/>
          <w:bCs/>
          <w:szCs w:val="21"/>
        </w:rPr>
        <w:t>涉及</w:t>
      </w:r>
      <w:r>
        <w:rPr>
          <w:rFonts w:hint="eastAsia" w:ascii="宋体" w:hAnsi="宋体"/>
          <w:b/>
          <w:bCs/>
          <w:color w:val="FF0000"/>
          <w:szCs w:val="21"/>
        </w:rPr>
        <w:t>关键指标的维度</w:t>
      </w:r>
      <w:r>
        <w:rPr>
          <w:rFonts w:hint="eastAsia" w:ascii="宋体" w:hAnsi="宋体"/>
          <w:b/>
          <w:bCs/>
          <w:szCs w:val="21"/>
        </w:rPr>
        <w:t>)</w:t>
      </w:r>
    </w:p>
    <w:tbl>
      <w:tblPr>
        <w:tblStyle w:val="6"/>
        <w:tblpPr w:leftFromText="180" w:rightFromText="180" w:vertAnchor="text" w:horzAnchor="page" w:tblpX="1757" w:tblpY="797"/>
        <w:tblOverlap w:val="never"/>
        <w:tblW w:w="13401" w:type="dxa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2330"/>
        <w:gridCol w:w="2539"/>
        <w:gridCol w:w="2678"/>
        <w:gridCol w:w="2383"/>
        <w:gridCol w:w="1836"/>
      </w:tblGrid>
      <w:tr w14:paraId="09CC3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tblHeader/>
          <w:tblCellSpacing w:w="0" w:type="dxa"/>
        </w:trPr>
        <w:tc>
          <w:tcPr>
            <w:tcW w:w="163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074630B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00"/>
              </w:rPr>
              <w:t>岗位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902DB48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00"/>
              </w:rPr>
              <w:t>维度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50A9C1E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00"/>
              </w:rPr>
              <w:t>指标（问题点）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B6E082A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00"/>
              </w:rPr>
              <w:t>现况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F96E1D2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00"/>
              </w:rPr>
              <w:t>目标预期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0E88860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00"/>
              </w:rPr>
              <w:t>新增收益</w:t>
            </w:r>
          </w:p>
        </w:tc>
      </w:tr>
      <w:tr w14:paraId="7DDA8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tblCellSpacing w:w="0" w:type="dxa"/>
        </w:trPr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FAD100B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会计</w:t>
            </w:r>
          </w:p>
        </w:tc>
        <w:tc>
          <w:tcPr>
            <w:tcW w:w="2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08AB2D3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多（数量）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D81BD8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财务相关培训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239C52D">
            <w:pPr>
              <w:pStyle w:val="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次/年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28B13AF">
            <w:pPr>
              <w:pStyle w:val="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次/年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7285213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管理流程标准化、提升财务专业度（培养人才）</w:t>
            </w:r>
          </w:p>
        </w:tc>
      </w:tr>
      <w:tr w14:paraId="04D4E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tblCellSpacing w:w="0" w:type="dxa"/>
        </w:trPr>
        <w:tc>
          <w:tcPr>
            <w:tcW w:w="1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2832547">
            <w:pPr>
              <w:pStyle w:val="5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3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51B2F59">
            <w:pPr>
              <w:pStyle w:val="5"/>
              <w:jc w:val="center"/>
              <w:rPr>
                <w:rFonts w:hint="eastAsia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C1087D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项目链接度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0D1331D">
            <w:pPr>
              <w:pStyle w:val="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账务与业务脱节，不了解项目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D9496BD">
            <w:pPr>
              <w:pStyle w:val="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多了解并熟悉公司服务的所有项目及板块（含合同内外）,为业务提供财务支持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7BDC12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事后算账转为事前业务管控；提升项目管理业务标准化</w:t>
            </w:r>
          </w:p>
        </w:tc>
      </w:tr>
      <w:tr w14:paraId="0B20C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tblCellSpacing w:w="0" w:type="dxa"/>
        </w:trPr>
        <w:tc>
          <w:tcPr>
            <w:tcW w:w="1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6907C19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90A9B67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快（时间）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5B6B856">
            <w:pPr>
              <w:pStyle w:val="5"/>
              <w:ind w:firstLine="210" w:firstLine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管理报表及时准确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104190B">
            <w:pPr>
              <w:pStyle w:val="5"/>
              <w:ind w:firstLine="210" w:firstLine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次月20日前完成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2DF27B9">
            <w:pPr>
              <w:pStyle w:val="5"/>
              <w:ind w:firstLine="210" w:firstLineChars="10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次月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日前完成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A2DE809">
            <w:pPr>
              <w:pStyle w:val="5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提前1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</w:rPr>
              <w:t>天</w:t>
            </w:r>
          </w:p>
        </w:tc>
      </w:tr>
      <w:tr w14:paraId="06684C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tblCellSpacing w:w="0" w:type="dxa"/>
        </w:trPr>
        <w:tc>
          <w:tcPr>
            <w:tcW w:w="1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F83A407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3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57CE1A0">
            <w:pPr>
              <w:pStyle w:val="5"/>
              <w:jc w:val="center"/>
              <w:rPr>
                <w:rFonts w:hint="eastAsia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0FC49EF">
            <w:pPr>
              <w:pStyle w:val="5"/>
              <w:numPr>
                <w:ilvl w:val="0"/>
                <w:numId w:val="3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账务及时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 w14:paraId="42AF1F96">
            <w:pPr>
              <w:pStyle w:val="5"/>
              <w:numPr>
                <w:ilvl w:val="0"/>
                <w:numId w:val="3"/>
              </w:num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税务对外申报及时性。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CD9D48E">
            <w:pPr>
              <w:pStyle w:val="5"/>
              <w:numPr>
                <w:ilvl w:val="0"/>
                <w:numId w:val="4"/>
              </w:num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税账8号前、内部15号前；</w:t>
            </w:r>
          </w:p>
          <w:p w14:paraId="433D2718">
            <w:pPr>
              <w:pStyle w:val="5"/>
              <w:numPr>
                <w:ilvl w:val="0"/>
                <w:numId w:val="4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税务每月截止日期前申报完成。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87112A4">
            <w:pPr>
              <w:pStyle w:val="5"/>
              <w:numPr>
                <w:ilvl w:val="0"/>
                <w:numId w:val="5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账务次月1日结账（二帐合一）；</w:t>
            </w:r>
          </w:p>
          <w:p w14:paraId="51FDA566">
            <w:pPr>
              <w:pStyle w:val="5"/>
              <w:numPr>
                <w:ilvl w:val="0"/>
                <w:numId w:val="5"/>
              </w:num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月度税务于截止日期前5日全部申报完成、季度税务于截止日期前2日全部申报完成。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1EF12F5">
            <w:pPr>
              <w:pStyle w:val="5"/>
              <w:numPr>
                <w:ilvl w:val="0"/>
                <w:numId w:val="6"/>
              </w:num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账务提前7-14天完成；</w:t>
            </w:r>
          </w:p>
          <w:p w14:paraId="09CB66AA">
            <w:pPr>
              <w:pStyle w:val="5"/>
              <w:numPr>
                <w:ilvl w:val="0"/>
                <w:numId w:val="6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纳税申报提前2-5日完成。</w:t>
            </w:r>
          </w:p>
        </w:tc>
      </w:tr>
      <w:tr w14:paraId="69B44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  <w:tblCellSpacing w:w="0" w:type="dxa"/>
        </w:trPr>
        <w:tc>
          <w:tcPr>
            <w:tcW w:w="1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9C64BBB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D70A85F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好（质量）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CBEB717">
            <w:pPr>
              <w:pStyle w:val="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季度经营分析有效，能提出关键问题点，促进发展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17380E9">
            <w:pPr>
              <w:pStyle w:val="5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DBEA013">
            <w:pPr>
              <w:pStyle w:val="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次季度首月20日前完成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51075CC">
            <w:pPr>
              <w:pStyle w:val="5"/>
              <w:jc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及时发现风险项目并纠偏，为公司管理层提供决策依据，预算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超支及</w:t>
            </w:r>
            <w:r>
              <w:rPr>
                <w:rFonts w:hint="eastAsia"/>
                <w:color w:val="auto"/>
                <w:sz w:val="18"/>
                <w:szCs w:val="18"/>
              </w:rPr>
              <w:t>偏差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率分析</w:t>
            </w:r>
          </w:p>
        </w:tc>
      </w:tr>
      <w:tr w14:paraId="47FA1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  <w:tblCellSpacing w:w="0" w:type="dxa"/>
        </w:trPr>
        <w:tc>
          <w:tcPr>
            <w:tcW w:w="1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A766658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3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F0AF18A">
            <w:pPr>
              <w:pStyle w:val="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466A4E9">
            <w:pPr>
              <w:pStyle w:val="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税账处理细化并形成标准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2A412A5">
            <w:pPr>
              <w:pStyle w:val="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税账成本费用不分项目、不细化，较粗糙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A853FD3">
            <w:pPr>
              <w:pStyle w:val="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二账合一、细化科目及项目；及时进行往来清理，管控风险挂账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A9EC0A3">
            <w:pPr>
              <w:pStyle w:val="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账务精</w:t>
            </w:r>
            <w:r>
              <w:rPr>
                <w:rFonts w:hint="eastAsia"/>
                <w:color w:val="auto"/>
                <w:sz w:val="21"/>
                <w:szCs w:val="21"/>
              </w:rPr>
              <w:t>准，数据可直接用于决策；提升职能业务标准化</w:t>
            </w:r>
          </w:p>
        </w:tc>
      </w:tr>
      <w:tr w14:paraId="1B289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tblCellSpacing w:w="0" w:type="dxa"/>
        </w:trPr>
        <w:tc>
          <w:tcPr>
            <w:tcW w:w="1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A736D4E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C06AB31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省（成本）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C891B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月度成本分析会召开及预警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F42ABEC">
            <w:pPr>
              <w:pStyle w:val="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每月第三周</w:t>
            </w:r>
            <w:r>
              <w:rPr>
                <w:rFonts w:hint="eastAsia"/>
                <w:sz w:val="21"/>
                <w:szCs w:val="21"/>
              </w:rPr>
              <w:t>召开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</w:rPr>
              <w:t>度成本分析会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88B0B56">
            <w:pPr>
              <w:pStyle w:val="5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次月8日前组织完成月度成本分析会的召开，并提供预警建议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A8A2F95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树标杆、控成本，助力项目提升管理质量和经营思维，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异常预警、毛利提升0.5</w:t>
            </w:r>
            <w:r>
              <w:rPr>
                <w:rFonts w:hint="eastAsia"/>
                <w:color w:val="auto"/>
                <w:szCs w:val="21"/>
              </w:rPr>
              <w:t>%</w:t>
            </w:r>
          </w:p>
        </w:tc>
      </w:tr>
    </w:tbl>
    <w:p w14:paraId="0479C0A4"/>
    <w:p w14:paraId="481EF6C8"/>
    <w:p w14:paraId="491671AC"/>
    <w:p w14:paraId="3A0A3CF9"/>
    <w:p w14:paraId="6E2D48B6"/>
    <w:p w14:paraId="2C018F09"/>
    <w:tbl>
      <w:tblPr>
        <w:tblStyle w:val="6"/>
        <w:tblpPr w:leftFromText="180" w:rightFromText="180" w:vertAnchor="text" w:horzAnchor="page" w:tblpX="1860" w:tblpY="110"/>
        <w:tblOverlap w:val="never"/>
        <w:tblW w:w="13137" w:type="dxa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2330"/>
        <w:gridCol w:w="2988"/>
        <w:gridCol w:w="2547"/>
        <w:gridCol w:w="2072"/>
        <w:gridCol w:w="1565"/>
      </w:tblGrid>
      <w:tr w14:paraId="3E5A0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tblCellSpacing w:w="0" w:type="dxa"/>
        </w:trPr>
        <w:tc>
          <w:tcPr>
            <w:tcW w:w="163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1CF9767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00"/>
              </w:rPr>
              <w:t>岗位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B7C807B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00"/>
              </w:rPr>
              <w:t>维度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1CE545B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00"/>
              </w:rPr>
              <w:t>指标（问题点）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26D49CE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00"/>
              </w:rPr>
              <w:t>现况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CEE764A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00"/>
              </w:rPr>
              <w:t>目标预期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F12A496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00"/>
              </w:rPr>
              <w:t>新增收益</w:t>
            </w:r>
          </w:p>
        </w:tc>
      </w:tr>
      <w:tr w14:paraId="2ADEA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183A36E">
            <w:pPr>
              <w:pStyle w:val="5"/>
              <w:jc w:val="center"/>
            </w:pPr>
            <w:r>
              <w:rPr>
                <w:rFonts w:hint="eastAsia"/>
              </w:rPr>
              <w:t>出纳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FDC0CA8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多（数量）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404B8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合同外应收费管控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809F9FC">
            <w:pPr>
              <w:pStyle w:val="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虽有考核，但为事后管控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1979C97">
            <w:pPr>
              <w:pStyle w:val="5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多与会计审核节点增加粘性，重点关注合同外支出、垫付支出等，以支寻收，追踪公司应收合同外收入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25B773D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合同外收款应收尽收</w:t>
            </w:r>
          </w:p>
        </w:tc>
      </w:tr>
      <w:tr w14:paraId="3741C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  <w:tblCellSpacing w:w="0" w:type="dxa"/>
        </w:trPr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7F6F10F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EEC1946">
            <w:pPr>
              <w:pStyle w:val="5"/>
              <w:jc w:val="center"/>
            </w:pPr>
            <w:r>
              <w:rPr>
                <w:rFonts w:hint="eastAsia"/>
              </w:rPr>
              <w:t>快（时间）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4AC4516">
            <w:pPr>
              <w:pStyle w:val="5"/>
              <w:numPr>
                <w:ilvl w:val="0"/>
                <w:numId w:val="0"/>
              </w:num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凭证整理不规范、装订不及时，归档后查找困难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1F6ADA8">
            <w:pPr>
              <w:pStyle w:val="5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装订进度滞后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E13C676">
            <w:pPr>
              <w:pStyle w:val="5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按月规范整理凭证，做到附件齐全、顺序清晰，当月凭证次月 10日前完成装订归档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857FD8E">
            <w:pPr>
              <w:pStyle w:val="5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提升凭证查阅效率，降低审计 / 税务核查风险，保障财务资料完整性</w:t>
            </w:r>
          </w:p>
        </w:tc>
      </w:tr>
      <w:tr w14:paraId="0D741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tblCellSpacing w:w="0" w:type="dxa"/>
        </w:trPr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2A5711D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C2E0F54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好（质量）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F19A385">
            <w:pPr>
              <w:jc w:val="center"/>
              <w:rPr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规范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日记账</w:t>
            </w:r>
            <w:r>
              <w:rPr>
                <w:rFonts w:ascii="宋体" w:hAnsi="宋体" w:eastAsia="宋体" w:cs="宋体"/>
                <w:sz w:val="24"/>
                <w:szCs w:val="24"/>
              </w:rPr>
              <w:t>账务处理，确保数据准确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A8CFA76">
            <w:pPr>
              <w:pStyle w:val="5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日记账未日清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F1AB61C">
            <w:pPr>
              <w:pStyle w:val="5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出纳日清日记账，会计按周审核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3457DD1">
            <w:pPr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资金数据精准，降低账实不符风险</w:t>
            </w:r>
          </w:p>
        </w:tc>
      </w:tr>
      <w:tr w14:paraId="01252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</w:trPr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70D16F6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175C8A8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省（成本）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948F645">
            <w:pPr>
              <w:pStyle w:val="5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银行手续费节省及增值税专用发票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7753951">
            <w:pPr>
              <w:pStyle w:val="5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未与银行沟通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7B80311">
            <w:pPr>
              <w:pStyle w:val="5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主动与银行协商，</w:t>
            </w:r>
            <w:r>
              <w:rPr>
                <w:rFonts w:hint="default"/>
                <w:color w:val="auto"/>
                <w:sz w:val="21"/>
                <w:szCs w:val="21"/>
              </w:rPr>
              <w:t>降低手续费；确保获取增值税专用发票用于抵扣，直接节省开支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35E4F7A">
            <w:pPr>
              <w:pStyle w:val="5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预计0.13万元</w:t>
            </w:r>
          </w:p>
        </w:tc>
      </w:tr>
    </w:tbl>
    <w:p w14:paraId="3F79E342">
      <w:pPr>
        <w:rPr>
          <w:rFonts w:hint="eastAsia" w:ascii="宋体" w:hAnsi="宋体"/>
          <w:b/>
          <w:bCs/>
          <w:szCs w:val="21"/>
          <w:lang w:val="en-US" w:eastAsia="zh-CN"/>
        </w:rPr>
      </w:pPr>
    </w:p>
    <w:p w14:paraId="01D04AAC"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3</w:t>
      </w:r>
      <w:r>
        <w:rPr>
          <w:rFonts w:hint="eastAsia" w:ascii="宋体" w:hAnsi="宋体"/>
          <w:b/>
          <w:bCs/>
          <w:szCs w:val="21"/>
        </w:rPr>
        <w:t>、完成目标的方法和措施（鱼骨图）——通过鱼骨图找到</w:t>
      </w:r>
      <w:r>
        <w:rPr>
          <w:rFonts w:hint="eastAsia" w:ascii="宋体" w:hAnsi="宋体"/>
          <w:b/>
          <w:bCs/>
          <w:color w:val="FF0000"/>
          <w:szCs w:val="21"/>
        </w:rPr>
        <w:t>一招致胜</w:t>
      </w:r>
      <w:r>
        <w:rPr>
          <w:rFonts w:hint="eastAsia" w:ascii="宋体" w:hAnsi="宋体"/>
          <w:b/>
          <w:bCs/>
          <w:szCs w:val="21"/>
        </w:rPr>
        <w:t>的方法</w:t>
      </w:r>
      <w:r>
        <w:rPr>
          <w:rFonts w:hint="eastAsia" w:ascii="宋体" w:hAnsi="宋体"/>
          <w:b/>
          <w:bCs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7952105</wp:posOffset>
                </wp:positionH>
                <wp:positionV relativeFrom="paragraph">
                  <wp:posOffset>2583815</wp:posOffset>
                </wp:positionV>
                <wp:extent cx="1769110" cy="273050"/>
                <wp:effectExtent l="4445" t="4445" r="17145" b="8255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11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36D951">
                            <w:pPr>
                              <w:jc w:val="center"/>
                              <w:rPr>
                                <w:rFonts w:hint="default" w:eastAsia="宋体"/>
                                <w:color w:val="auto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lang w:val="en-US" w:eastAsia="zh-CN"/>
                              </w:rPr>
                              <w:t>净利率目标达成9.87%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6.15pt;margin-top:203.45pt;height:21.5pt;width:139.3pt;z-index:251664384;mso-width-relative:page;mso-height-relative:page;" fillcolor="#FFFFFF" filled="t" stroked="t" coordsize="21600,21600" o:gfxdata="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0yg/vbAAAADQEAAA8AAAAAAAAA&#10;AQAgAAAAIgAAAGRycy9kb3ducmV2LnhtbFBLAQIUABQAAAAIAIdO4kAQq36+DgIAADgEAAAOAAAA&#10;AAAAAAEAIAAAACo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436D951">
                      <w:pPr>
                        <w:jc w:val="center"/>
                        <w:rPr>
                          <w:rFonts w:hint="default" w:eastAsia="宋体"/>
                          <w:color w:val="auto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highlight w:val="none"/>
                          <w:lang w:val="en-US" w:eastAsia="zh-CN"/>
                        </w:rPr>
                        <w:t>净利率目标达成9.87%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bCs/>
          <w:color w:val="auto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483870</wp:posOffset>
            </wp:positionH>
            <wp:positionV relativeFrom="paragraph">
              <wp:posOffset>1162685</wp:posOffset>
            </wp:positionV>
            <wp:extent cx="7453630" cy="3053715"/>
            <wp:effectExtent l="0" t="0" r="13970" b="13335"/>
            <wp:wrapSquare wrapText="right"/>
            <wp:docPr id="22" name="未知 2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1" name="组合 0"/>
                    <a:cNvGrpSpPr/>
                  </a:nvGrpSpPr>
                  <a:grpSpPr>
                    <a:xfrm>
                      <a:off x="0" y="0"/>
                      <a:ext cx="6983412" cy="3887788"/>
                      <a:chOff x="684213" y="2349500"/>
                      <a:chExt cx="6983412" cy="3887788"/>
                    </a:xfrm>
                  </a:grpSpPr>
                  <a:grpSp>
                    <a:nvGrpSpPr>
                      <a:cNvPr id="8" name="组合 7"/>
                      <a:cNvGrpSpPr/>
                    </a:nvGrpSpPr>
                    <a:grpSpPr>
                      <a:xfrm>
                        <a:off x="684213" y="2349500"/>
                        <a:ext cx="6983412" cy="3887788"/>
                        <a:chOff x="684213" y="2349500"/>
                        <a:chExt cx="6983412" cy="3887788"/>
                      </a:xfrm>
                    </a:grpSpPr>
                    <a:sp>
                      <a:nvSpPr>
                        <a:cNvPr id="9218" name="Line 2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684213" y="4365625"/>
                          <a:ext cx="6983412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zh-CN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19" name="Line 2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364163" y="2349500"/>
                          <a:ext cx="1512887" cy="2014538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zh-CN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20" name="Line 2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411413" y="2420938"/>
                          <a:ext cx="1514475" cy="19431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zh-CN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21" name="Line 3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476375" y="4365625"/>
                          <a:ext cx="1296988" cy="172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zh-CN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22" name="Line 3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787900" y="4365625"/>
                          <a:ext cx="1368425" cy="1871663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zh-CN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</w:p>
    <w:p w14:paraId="07B0B1AE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85090</wp:posOffset>
                </wp:positionV>
                <wp:extent cx="2747645" cy="1532255"/>
                <wp:effectExtent l="4445" t="4445" r="10160" b="635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7645" cy="153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814858">
                            <w:pPr>
                              <w:rPr>
                                <w:rFonts w:hint="eastAsia"/>
                                <w:b/>
                                <w:bCs/>
                                <w:color w:val="auto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highlight w:val="none"/>
                                <w:lang w:val="en-US" w:eastAsia="zh-CN"/>
                              </w:rPr>
                              <w:t>财务标准化</w:t>
                            </w:r>
                          </w:p>
                          <w:p w14:paraId="72216A8F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账务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处理细化并形成标准</w:t>
                            </w:r>
                          </w:p>
                          <w:p w14:paraId="7BE8652C">
                            <w:pPr>
                              <w:numPr>
                                <w:ilvl w:val="0"/>
                                <w:numId w:val="7"/>
                              </w:numPr>
                              <w:ind w:left="0" w:leftChars="0" w:firstLine="0" w:firstLineChars="0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每月定期进行往来清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查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并形成标准</w:t>
                            </w:r>
                          </w:p>
                          <w:p w14:paraId="619E92D3">
                            <w:pPr>
                              <w:numPr>
                                <w:ilvl w:val="0"/>
                                <w:numId w:val="7"/>
                              </w:numPr>
                              <w:ind w:left="0" w:leftChars="0" w:firstLine="0" w:firstLineChars="0"/>
                              <w:rPr>
                                <w:rFonts w:hint="default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税务申报</w:t>
                            </w:r>
                            <w:r>
                              <w:rPr>
                                <w:rFonts w:hint="eastAsia"/>
                                <w:color w:val="000000"/>
                                <w:lang w:val="en-US" w:eastAsia="zh-CN"/>
                              </w:rPr>
                              <w:t>及时准确</w:t>
                            </w:r>
                          </w:p>
                          <w:p w14:paraId="319AC919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Consolas" w:hAnsi="Consolas" w:eastAsia="Consolas" w:cs="Consolas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1"/>
                                <w:szCs w:val="21"/>
                              </w:rPr>
                              <w:t>费用报销流程规范（含票据审核标准）</w:t>
                            </w:r>
                          </w:p>
                          <w:p w14:paraId="6E4D4AD0">
                            <w:pPr>
                              <w:numPr>
                                <w:ilvl w:val="0"/>
                                <w:numId w:val="7"/>
                              </w:numPr>
                              <w:ind w:left="0" w:leftChars="0" w:firstLine="0" w:firstLineChars="0"/>
                              <w:rPr>
                                <w:rFonts w:hint="eastAsia" w:ascii="Consolas" w:hAnsi="Consolas" w:eastAsia="Consolas" w:cs="Consolas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onsolas" w:hAnsi="Consolas" w:eastAsia="Consolas" w:cs="Consolas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>财务制度的完善及培训</w:t>
                            </w:r>
                          </w:p>
                          <w:p w14:paraId="292B9865">
                            <w:pPr>
                              <w:numPr>
                                <w:ilvl w:val="0"/>
                                <w:numId w:val="7"/>
                              </w:numPr>
                              <w:ind w:left="0" w:leftChars="0" w:firstLine="0" w:firstLineChars="0"/>
                              <w:rPr>
                                <w:rFonts w:hint="eastAsia" w:ascii="Consolas" w:hAnsi="Consolas" w:eastAsia="Consolas" w:cs="Consolas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onsolas" w:hAnsi="Consolas" w:eastAsia="Consolas" w:cs="Consolas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>审计评估规范</w:t>
                            </w:r>
                          </w:p>
                          <w:p w14:paraId="3C3F1940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75pt;margin-top:6.7pt;height:120.65pt;width:216.35pt;z-index:251661312;mso-width-relative:page;mso-height-relative:page;" fillcolor="#FFFFFF" filled="t" stroked="t" coordsize="21600,21600" o:gfxdata="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t0HttkAAAAJAQAADwAAAAAAAAABACAA&#10;AAAiAAAAZHJzL2Rvd25yZXYueG1sUEsBAhQAFAAAAAgAh07iQKkRegQMAgAAOQ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5814858">
                      <w:pPr>
                        <w:rPr>
                          <w:rFonts w:hint="eastAsia"/>
                          <w:b/>
                          <w:bCs/>
                          <w:color w:val="auto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auto"/>
                          <w:highlight w:val="none"/>
                          <w:lang w:val="en-US" w:eastAsia="zh-CN"/>
                        </w:rPr>
                        <w:t>财务标准化</w:t>
                      </w:r>
                    </w:p>
                    <w:p w14:paraId="72216A8F">
                      <w:pPr>
                        <w:numPr>
                          <w:ilvl w:val="0"/>
                          <w:numId w:val="7"/>
                        </w:numPr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账务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处理细化并形成标准</w:t>
                      </w:r>
                    </w:p>
                    <w:p w14:paraId="7BE8652C">
                      <w:pPr>
                        <w:numPr>
                          <w:ilvl w:val="0"/>
                          <w:numId w:val="7"/>
                        </w:numPr>
                        <w:ind w:left="0" w:leftChars="0" w:firstLine="0" w:firstLineChars="0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每月定期进行往来清</w:t>
                      </w:r>
                      <w:r>
                        <w:rPr>
                          <w:rFonts w:hint="eastAsia"/>
                          <w:color w:val="000000"/>
                        </w:rPr>
                        <w:t>查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并形成标准</w:t>
                      </w:r>
                    </w:p>
                    <w:p w14:paraId="619E92D3">
                      <w:pPr>
                        <w:numPr>
                          <w:ilvl w:val="0"/>
                          <w:numId w:val="7"/>
                        </w:numPr>
                        <w:ind w:left="0" w:leftChars="0" w:firstLine="0" w:firstLineChars="0"/>
                        <w:rPr>
                          <w:rFonts w:hint="default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税务申报</w:t>
                      </w:r>
                      <w:r>
                        <w:rPr>
                          <w:rFonts w:hint="eastAsia"/>
                          <w:color w:val="000000"/>
                          <w:lang w:val="en-US" w:eastAsia="zh-CN"/>
                        </w:rPr>
                        <w:t>及时准确</w:t>
                      </w:r>
                    </w:p>
                    <w:p w14:paraId="319AC919">
                      <w:pPr>
                        <w:numPr>
                          <w:ilvl w:val="0"/>
                          <w:numId w:val="7"/>
                        </w:numP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Consolas" w:hAnsi="Consolas" w:eastAsia="Consolas" w:cs="Consolas"/>
                          <w:i w:val="0"/>
                          <w:iCs w:val="0"/>
                          <w:caps w:val="0"/>
                          <w:color w:val="000000"/>
                          <w:spacing w:val="0"/>
                          <w:sz w:val="21"/>
                          <w:szCs w:val="21"/>
                        </w:rPr>
                        <w:t>费用报销流程规范（含票据审核标准）</w:t>
                      </w:r>
                    </w:p>
                    <w:p w14:paraId="6E4D4AD0">
                      <w:pPr>
                        <w:numPr>
                          <w:ilvl w:val="0"/>
                          <w:numId w:val="7"/>
                        </w:numPr>
                        <w:ind w:left="0" w:leftChars="0" w:firstLine="0" w:firstLineChars="0"/>
                        <w:rPr>
                          <w:rFonts w:hint="eastAsia" w:ascii="Consolas" w:hAnsi="Consolas" w:eastAsia="Consolas" w:cs="Consolas"/>
                          <w:i w:val="0"/>
                          <w:iCs w:val="0"/>
                          <w:caps w:val="0"/>
                          <w:color w:val="000000"/>
                          <w:spacing w:val="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Consolas" w:hAnsi="Consolas" w:eastAsia="Consolas" w:cs="Consolas"/>
                          <w:i w:val="0"/>
                          <w:iCs w:val="0"/>
                          <w:caps w:val="0"/>
                          <w:color w:val="000000"/>
                          <w:spacing w:val="0"/>
                          <w:sz w:val="21"/>
                          <w:szCs w:val="21"/>
                          <w:lang w:val="en-US" w:eastAsia="zh-CN"/>
                        </w:rPr>
                        <w:t>财务制度的完善及培训</w:t>
                      </w:r>
                    </w:p>
                    <w:p w14:paraId="292B9865">
                      <w:pPr>
                        <w:numPr>
                          <w:ilvl w:val="0"/>
                          <w:numId w:val="7"/>
                        </w:numPr>
                        <w:ind w:left="0" w:leftChars="0" w:firstLine="0" w:firstLineChars="0"/>
                        <w:rPr>
                          <w:rFonts w:hint="eastAsia" w:ascii="Consolas" w:hAnsi="Consolas" w:eastAsia="Consolas" w:cs="Consolas"/>
                          <w:i w:val="0"/>
                          <w:iCs w:val="0"/>
                          <w:caps w:val="0"/>
                          <w:color w:val="000000"/>
                          <w:spacing w:val="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Consolas" w:hAnsi="Consolas" w:eastAsia="Consolas" w:cs="Consolas"/>
                          <w:i w:val="0"/>
                          <w:iCs w:val="0"/>
                          <w:caps w:val="0"/>
                          <w:color w:val="000000"/>
                          <w:spacing w:val="0"/>
                          <w:sz w:val="21"/>
                          <w:szCs w:val="21"/>
                          <w:lang w:val="en-US" w:eastAsia="zh-CN"/>
                        </w:rPr>
                        <w:t>审计评估规范</w:t>
                      </w:r>
                    </w:p>
                    <w:p w14:paraId="3C3F1940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4328160</wp:posOffset>
                </wp:positionH>
                <wp:positionV relativeFrom="paragraph">
                  <wp:posOffset>69850</wp:posOffset>
                </wp:positionV>
                <wp:extent cx="3020060" cy="1104265"/>
                <wp:effectExtent l="4445" t="4445" r="23495" b="1524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0060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76C01A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auto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color w:val="auto"/>
                                <w:highlight w:val="none"/>
                                <w:lang w:val="en-US" w:eastAsia="zh-CN"/>
                              </w:rPr>
                              <w:t>预算成本管控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highlight w:val="none"/>
                                <w:lang w:val="en-US" w:eastAsia="zh-CN"/>
                              </w:rPr>
                              <w:t>具体化</w:t>
                            </w:r>
                          </w:p>
                          <w:p w14:paraId="4D8AA9BF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hint="eastAsia" w:ascii="Times New Roman" w:hAnsi="Times New Roman" w:eastAsia="宋体" w:cs="Times New Roman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0"/>
                                <w:szCs w:val="22"/>
                                <w:lang w:val="en-US" w:eastAsia="zh-CN"/>
                              </w:rPr>
                              <w:t>每月</w:t>
                            </w:r>
                            <w:r>
                              <w:rPr>
                                <w:rFonts w:hint="eastAsia" w:cs="Times New Roman"/>
                                <w:sz w:val="20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0"/>
                                <w:szCs w:val="22"/>
                                <w:lang w:val="en-US" w:eastAsia="zh-CN"/>
                              </w:rPr>
                              <w:t>日前管理报表、利润表提报</w:t>
                            </w:r>
                          </w:p>
                          <w:p w14:paraId="6198E5DD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hint="default" w:ascii="Times New Roman" w:hAnsi="Times New Roman" w:eastAsia="宋体" w:cs="Times New Roman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新进场项目预算编制监督与审核（3个月内完成）</w:t>
                            </w:r>
                          </w:p>
                          <w:p w14:paraId="22135497">
                            <w:pPr>
                              <w:rPr>
                                <w:rFonts w:hint="eastAsia" w:eastAsia="宋体"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3、协助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项目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进行合同外收入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毛利测算</w:t>
                            </w:r>
                          </w:p>
                          <w:p w14:paraId="2DD4C6D3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Times New Roman" w:hAnsi="Times New Roman" w:eastAsia="宋体" w:cs="Times New Roman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Times New Roman"/>
                                <w:sz w:val="20"/>
                                <w:szCs w:val="22"/>
                                <w:lang w:val="en-US" w:eastAsia="zh-CN"/>
                              </w:rPr>
                              <w:t>4、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月度组织经营成本分析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偏差率预警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0.8pt;margin-top:5.5pt;height:86.95pt;width:237.8pt;z-index:251660288;mso-width-relative:page;mso-height-relative:page;" fillcolor="#FFFFFF" filled="t" stroked="t" coordsize="21600,21600" o:gfxdata="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CZ3ew2QAAAAsBAAAPAAAAAAAAAAEAIAAA&#10;ACIAAABkcnMvZG93bnJldi54bWxQSwECFAAUAAAACACHTuJAHB3ZiQsCAAA5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176C01A">
                      <w:pPr>
                        <w:rPr>
                          <w:rFonts w:hint="eastAsia" w:eastAsia="宋体"/>
                          <w:b/>
                          <w:bCs/>
                          <w:color w:val="auto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color w:val="auto"/>
                          <w:highlight w:val="none"/>
                          <w:lang w:val="en-US" w:eastAsia="zh-CN"/>
                        </w:rPr>
                        <w:t>预算成本管控</w:t>
                      </w:r>
                      <w:r>
                        <w:rPr>
                          <w:rFonts w:hint="eastAsia"/>
                          <w:b/>
                          <w:bCs/>
                          <w:color w:val="auto"/>
                          <w:highlight w:val="none"/>
                          <w:lang w:val="en-US" w:eastAsia="zh-CN"/>
                        </w:rPr>
                        <w:t>具体化</w:t>
                      </w:r>
                    </w:p>
                    <w:p w14:paraId="4D8AA9BF">
                      <w:pPr>
                        <w:numPr>
                          <w:ilvl w:val="0"/>
                          <w:numId w:val="8"/>
                        </w:numPr>
                        <w:rPr>
                          <w:rFonts w:hint="eastAsia" w:ascii="Times New Roman" w:hAnsi="Times New Roman" w:eastAsia="宋体" w:cs="Times New Roman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0"/>
                          <w:szCs w:val="22"/>
                          <w:lang w:val="en-US" w:eastAsia="zh-CN"/>
                        </w:rPr>
                        <w:t>每月</w:t>
                      </w:r>
                      <w:r>
                        <w:rPr>
                          <w:rFonts w:hint="eastAsia" w:cs="Times New Roman"/>
                          <w:sz w:val="20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20"/>
                          <w:szCs w:val="22"/>
                          <w:lang w:val="en-US" w:eastAsia="zh-CN"/>
                        </w:rPr>
                        <w:t>日前管理报表、利润表提报</w:t>
                      </w:r>
                    </w:p>
                    <w:p w14:paraId="6198E5DD">
                      <w:pPr>
                        <w:numPr>
                          <w:ilvl w:val="0"/>
                          <w:numId w:val="8"/>
                        </w:numPr>
                        <w:rPr>
                          <w:rFonts w:hint="default" w:ascii="Times New Roman" w:hAnsi="Times New Roman" w:eastAsia="宋体" w:cs="Times New Roman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  <w:lang w:val="en-US" w:eastAsia="zh-CN"/>
                        </w:rPr>
                        <w:t>新进场项目预算编制监督与审核（3个月内完成）</w:t>
                      </w:r>
                    </w:p>
                    <w:p w14:paraId="22135497">
                      <w:pPr>
                        <w:rPr>
                          <w:rFonts w:hint="eastAsia" w:eastAsia="宋体"/>
                          <w:sz w:val="20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  <w:lang w:val="en-US" w:eastAsia="zh-CN"/>
                        </w:rPr>
                        <w:t>3、协助</w:t>
                      </w:r>
                      <w:r>
                        <w:rPr>
                          <w:rFonts w:hint="eastAsia"/>
                          <w:sz w:val="20"/>
                          <w:szCs w:val="22"/>
                        </w:rPr>
                        <w:t>项目</w:t>
                      </w:r>
                      <w:r>
                        <w:rPr>
                          <w:rFonts w:hint="eastAsia"/>
                          <w:sz w:val="20"/>
                          <w:szCs w:val="22"/>
                          <w:lang w:val="en-US" w:eastAsia="zh-CN"/>
                        </w:rPr>
                        <w:t>进行合同外收入</w:t>
                      </w:r>
                      <w:r>
                        <w:rPr>
                          <w:rFonts w:hint="eastAsia"/>
                          <w:sz w:val="20"/>
                          <w:szCs w:val="22"/>
                        </w:rPr>
                        <w:t>毛利测算</w:t>
                      </w:r>
                    </w:p>
                    <w:p w14:paraId="2DD4C6D3"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Times New Roman" w:hAnsi="Times New Roman" w:eastAsia="宋体" w:cs="Times New Roman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cs="Times New Roman"/>
                          <w:sz w:val="20"/>
                          <w:szCs w:val="22"/>
                          <w:lang w:val="en-US" w:eastAsia="zh-CN"/>
                        </w:rPr>
                        <w:t>4、</w:t>
                      </w:r>
                      <w:r>
                        <w:rPr>
                          <w:rFonts w:hint="eastAsia"/>
                          <w:sz w:val="20"/>
                          <w:szCs w:val="22"/>
                        </w:rPr>
                        <w:t>月度组织经营成本分析</w:t>
                      </w:r>
                      <w:r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sz w:val="20"/>
                          <w:szCs w:val="22"/>
                          <w:lang w:val="en-US" w:eastAsia="zh-CN"/>
                        </w:rPr>
                        <w:t>偏差率预警</w:t>
                      </w:r>
                    </w:p>
                  </w:txbxContent>
                </v:textbox>
              </v:shape>
            </w:pict>
          </mc:Fallback>
        </mc:AlternateContent>
      </w:r>
    </w:p>
    <w:p w14:paraId="56DE7405">
      <w:pPr>
        <w:bidi w:val="0"/>
        <w:rPr>
          <w:rFonts w:hint="eastAsia"/>
          <w:lang w:val="en-US" w:eastAsia="zh-CN"/>
        </w:rPr>
      </w:pPr>
    </w:p>
    <w:p w14:paraId="137DEB96">
      <w:pPr>
        <w:bidi w:val="0"/>
        <w:rPr>
          <w:rFonts w:hint="eastAsia"/>
          <w:lang w:val="en-US" w:eastAsia="zh-CN"/>
        </w:rPr>
      </w:pPr>
    </w:p>
    <w:p w14:paraId="3BEA24D6">
      <w:pPr>
        <w:bidi w:val="0"/>
        <w:rPr>
          <w:rFonts w:hint="eastAsia"/>
          <w:lang w:val="en-US" w:eastAsia="zh-CN"/>
        </w:rPr>
      </w:pPr>
    </w:p>
    <w:p w14:paraId="7A88A248">
      <w:pPr>
        <w:bidi w:val="0"/>
        <w:rPr>
          <w:rFonts w:hint="eastAsia"/>
          <w:lang w:val="en-US" w:eastAsia="zh-CN"/>
        </w:rPr>
      </w:pPr>
    </w:p>
    <w:p w14:paraId="744FE9AC">
      <w:pPr>
        <w:bidi w:val="0"/>
        <w:rPr>
          <w:rFonts w:hint="eastAsia"/>
          <w:lang w:val="en-US" w:eastAsia="zh-CN"/>
        </w:rPr>
      </w:pPr>
    </w:p>
    <w:p w14:paraId="03EBAF06">
      <w:pPr>
        <w:bidi w:val="0"/>
        <w:rPr>
          <w:rFonts w:hint="eastAsia"/>
          <w:lang w:val="en-US" w:eastAsia="zh-CN"/>
        </w:rPr>
      </w:pPr>
    </w:p>
    <w:p w14:paraId="0CB4413B">
      <w:pPr>
        <w:bidi w:val="0"/>
        <w:rPr>
          <w:rFonts w:hint="eastAsia"/>
          <w:lang w:val="en-US" w:eastAsia="zh-CN"/>
        </w:rPr>
      </w:pPr>
    </w:p>
    <w:p w14:paraId="687979E3">
      <w:pPr>
        <w:bidi w:val="0"/>
        <w:rPr>
          <w:rFonts w:hint="eastAsia"/>
          <w:lang w:val="en-US" w:eastAsia="zh-CN"/>
        </w:rPr>
      </w:pPr>
    </w:p>
    <w:p w14:paraId="37376E0A">
      <w:pPr>
        <w:bidi w:val="0"/>
        <w:rPr>
          <w:rFonts w:hint="eastAsia"/>
          <w:lang w:val="en-US" w:eastAsia="zh-CN"/>
        </w:rPr>
      </w:pPr>
    </w:p>
    <w:p w14:paraId="22DA8334">
      <w:pPr>
        <w:bidi w:val="0"/>
        <w:rPr>
          <w:rFonts w:hint="eastAsia"/>
          <w:lang w:val="en-US" w:eastAsia="zh-CN"/>
        </w:rPr>
      </w:pPr>
    </w:p>
    <w:p w14:paraId="72CB9931">
      <w:pPr>
        <w:bidi w:val="0"/>
        <w:rPr>
          <w:rFonts w:hint="eastAsia"/>
          <w:lang w:val="en-US" w:eastAsia="zh-CN"/>
        </w:rPr>
      </w:pPr>
    </w:p>
    <w:p w14:paraId="766D91D5">
      <w:pPr>
        <w:bidi w:val="0"/>
        <w:rPr>
          <w:rFonts w:hint="eastAsia"/>
          <w:lang w:val="en-US" w:eastAsia="zh-CN"/>
        </w:rPr>
      </w:pPr>
    </w:p>
    <w:p w14:paraId="51AB9C71">
      <w:pPr>
        <w:bidi w:val="0"/>
        <w:rPr>
          <w:rFonts w:hint="eastAsia"/>
          <w:lang w:val="en-US" w:eastAsia="zh-CN"/>
        </w:rPr>
      </w:pPr>
    </w:p>
    <w:p w14:paraId="73656D27">
      <w:pPr>
        <w:bidi w:val="0"/>
        <w:rPr>
          <w:rFonts w:hint="eastAsia"/>
          <w:lang w:val="en-US" w:eastAsia="zh-CN"/>
        </w:rPr>
      </w:pPr>
    </w:p>
    <w:p w14:paraId="3E6F6C54">
      <w:pPr>
        <w:bidi w:val="0"/>
        <w:rPr>
          <w:rFonts w:hint="eastAsia"/>
          <w:lang w:val="en-US" w:eastAsia="zh-CN"/>
        </w:rPr>
      </w:pPr>
    </w:p>
    <w:p w14:paraId="76DC5805">
      <w:pPr>
        <w:bidi w:val="0"/>
        <w:rPr>
          <w:rFonts w:hint="eastAsia"/>
          <w:lang w:val="en-US" w:eastAsia="zh-CN"/>
        </w:rPr>
      </w:pPr>
    </w:p>
    <w:p w14:paraId="4A46DF31">
      <w:pPr>
        <w:bidi w:val="0"/>
        <w:rPr>
          <w:rFonts w:hint="eastAsia"/>
          <w:lang w:val="en-US" w:eastAsia="zh-CN"/>
        </w:rPr>
      </w:pPr>
    </w:p>
    <w:p w14:paraId="54D12D71">
      <w:pPr>
        <w:bidi w:val="0"/>
        <w:rPr>
          <w:rFonts w:hint="eastAsia"/>
          <w:lang w:val="en-US" w:eastAsia="zh-CN"/>
        </w:rPr>
      </w:pPr>
    </w:p>
    <w:p w14:paraId="4427B39B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-7661275</wp:posOffset>
                </wp:positionH>
                <wp:positionV relativeFrom="paragraph">
                  <wp:posOffset>127635</wp:posOffset>
                </wp:positionV>
                <wp:extent cx="2406650" cy="1162050"/>
                <wp:effectExtent l="4445" t="5080" r="8255" b="1397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3A3DF67">
                            <w:pPr>
                              <w:rPr>
                                <w:rFonts w:hint="eastAsia"/>
                                <w:b/>
                                <w:bCs/>
                                <w:color w:val="auto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highlight w:val="none"/>
                                <w:lang w:val="en-US" w:eastAsia="zh-CN"/>
                              </w:rPr>
                              <w:t>运营资金高效化</w:t>
                            </w:r>
                          </w:p>
                          <w:p w14:paraId="5A035D29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每周一下发项目回款情况表</w:t>
                            </w:r>
                          </w:p>
                          <w:p w14:paraId="50BFF126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应收服务费超15天进行预警，超40天纳入考核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03.25pt;margin-top:10.05pt;height:91.5pt;width:189.5pt;z-index:251663360;mso-width-relative:page;mso-height-relative:page;" fillcolor="#FFFFFF" filled="t" stroked="t" coordsize="21600,21600" o:gfxdata="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6Oc9HaAAAADQEAAA8AAAAAAAAAAQAg&#10;AAAAIgAAAGRycy9kb3ducmV2LnhtbFBLAQIUABQAAAAIAIdO4kBq+A/1DAIAADk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A3DF67">
                      <w:pPr>
                        <w:rPr>
                          <w:rFonts w:hint="eastAsia"/>
                          <w:b/>
                          <w:bCs/>
                          <w:color w:val="auto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auto"/>
                          <w:highlight w:val="none"/>
                          <w:lang w:val="en-US" w:eastAsia="zh-CN"/>
                        </w:rPr>
                        <w:t>运营资金高效化</w:t>
                      </w:r>
                    </w:p>
                    <w:p w14:paraId="5A035D29">
                      <w:pPr>
                        <w:numPr>
                          <w:ilvl w:val="0"/>
                          <w:numId w:val="9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每周一下发项目回款情况表</w:t>
                      </w:r>
                    </w:p>
                    <w:p w14:paraId="50BFF126">
                      <w:pPr>
                        <w:numPr>
                          <w:ilvl w:val="0"/>
                          <w:numId w:val="9"/>
                        </w:num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应收服务费超15天进行预警，超40天纳入考核</w:t>
                      </w:r>
                    </w:p>
                  </w:txbxContent>
                </v:textbox>
              </v:shape>
            </w:pict>
          </mc:Fallback>
        </mc:AlternateContent>
      </w:r>
    </w:p>
    <w:p w14:paraId="144B2637">
      <w:pPr>
        <w:bidi w:val="0"/>
        <w:rPr>
          <w:rFonts w:hint="eastAsia"/>
          <w:lang w:val="en-US" w:eastAsia="zh-CN"/>
        </w:rPr>
      </w:pPr>
      <w:r>
        <w:rPr>
          <w:rFonts w:hint="eastAsia" w:ascii="宋体" w:hAnsi="宋体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-3879850</wp:posOffset>
                </wp:positionH>
                <wp:positionV relativeFrom="paragraph">
                  <wp:posOffset>41275</wp:posOffset>
                </wp:positionV>
                <wp:extent cx="1504315" cy="820420"/>
                <wp:effectExtent l="4445" t="4445" r="15240" b="1333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1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1E6409">
                            <w:pPr>
                              <w:rPr>
                                <w:rFonts w:hint="default"/>
                                <w:b/>
                                <w:bCs/>
                                <w:color w:val="auto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highlight w:val="none"/>
                                <w:lang w:val="en-US" w:eastAsia="zh-CN"/>
                              </w:rPr>
                              <w:t>管理、数据融合化</w:t>
                            </w:r>
                          </w:p>
                          <w:p w14:paraId="2ECB851C">
                            <w:pPr>
                              <w:numPr>
                                <w:numId w:val="0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1、业财融合</w:t>
                            </w:r>
                          </w:p>
                          <w:p w14:paraId="4DB854B5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/>
                                <w:b/>
                                <w:bCs/>
                                <w:color w:val="auto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auto"/>
                                <w:highlight w:val="none"/>
                                <w:lang w:val="en-US" w:eastAsia="zh-CN"/>
                              </w:rPr>
                              <w:t>2、决策辅助有效化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5.5pt;margin-top:3.25pt;height:64.6pt;width:118.45pt;z-index:251662336;mso-width-relative:page;mso-height-relative:page;" fillcolor="#FFFFFF" filled="t" stroked="t" coordsize="21600,21600" o:gfxdata="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7P2yO9oAAAALAQAADwAAAAAAAAAB&#10;ACAAAAAiAAAAZHJzL2Rvd25yZXYueG1sUEsBAhQAFAAAAAgAh07iQAj+vjUOAgAAOA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01E6409">
                      <w:pPr>
                        <w:rPr>
                          <w:rFonts w:hint="default"/>
                          <w:b/>
                          <w:bCs/>
                          <w:color w:val="auto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auto"/>
                          <w:highlight w:val="none"/>
                          <w:lang w:val="en-US" w:eastAsia="zh-CN"/>
                        </w:rPr>
                        <w:t>管理、数据融合化</w:t>
                      </w:r>
                    </w:p>
                    <w:p w14:paraId="2ECB851C">
                      <w:pPr>
                        <w:numPr>
                          <w:numId w:val="0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1、业财融合</w:t>
                      </w:r>
                    </w:p>
                    <w:p w14:paraId="4DB854B5">
                      <w:pPr>
                        <w:numPr>
                          <w:ilvl w:val="0"/>
                          <w:numId w:val="0"/>
                        </w:numPr>
                        <w:rPr>
                          <w:rFonts w:hint="default"/>
                          <w:b/>
                          <w:bCs/>
                          <w:color w:val="auto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auto"/>
                          <w:highlight w:val="none"/>
                          <w:lang w:val="en-US" w:eastAsia="zh-CN"/>
                        </w:rPr>
                        <w:t>2、决策辅助有效化</w:t>
                      </w:r>
                    </w:p>
                  </w:txbxContent>
                </v:textbox>
              </v:shape>
            </w:pict>
          </mc:Fallback>
        </mc:AlternateContent>
      </w:r>
    </w:p>
    <w:p w14:paraId="71E039E0">
      <w:pPr>
        <w:bidi w:val="0"/>
        <w:rPr>
          <w:rFonts w:hint="eastAsia"/>
          <w:lang w:val="en-US" w:eastAsia="zh-CN"/>
        </w:rPr>
      </w:pPr>
    </w:p>
    <w:p w14:paraId="179BEE6A">
      <w:pPr>
        <w:bidi w:val="0"/>
        <w:rPr>
          <w:rFonts w:hint="eastAsia"/>
          <w:lang w:val="en-US" w:eastAsia="zh-CN"/>
        </w:rPr>
      </w:pPr>
    </w:p>
    <w:p w14:paraId="126E63C7">
      <w:pPr>
        <w:tabs>
          <w:tab w:val="left" w:pos="979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13E8CBE7">
      <w:pPr>
        <w:tabs>
          <w:tab w:val="left" w:pos="9797"/>
        </w:tabs>
        <w:bidi w:val="0"/>
        <w:jc w:val="left"/>
        <w:rPr>
          <w:rFonts w:hint="eastAsia"/>
          <w:lang w:val="en-US" w:eastAsia="zh-CN"/>
        </w:rPr>
      </w:pPr>
    </w:p>
    <w:p w14:paraId="51969C67">
      <w:pPr>
        <w:tabs>
          <w:tab w:val="left" w:pos="9797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-1036320</wp:posOffset>
                </wp:positionV>
                <wp:extent cx="4477385" cy="2087880"/>
                <wp:effectExtent l="4445" t="4445" r="13970" b="2222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5120" y="989330"/>
                          <a:ext cx="4477385" cy="2087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DD67C">
                            <w:pP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业财融合</w:t>
                            </w:r>
                          </w:p>
                          <w:p w14:paraId="32A13BCD">
                            <w:pPr>
                              <w:rPr>
                                <w:rFonts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lang w:val="en-US" w:eastAsia="zh-CN"/>
                              </w:rPr>
                              <w:t>1、建立收入看板：不只是看“合同总额”，而是建立动态看板，监控，分析应收账款账龄、逾期金额及原因；</w:t>
                            </w:r>
                          </w:p>
                          <w:p w14:paraId="3632534E">
                            <w:pPr>
                              <w:rPr>
                                <w:rFonts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lang w:val="en-US" w:eastAsia="zh-CN"/>
                              </w:rPr>
                              <w:t>2、回款风险预警：监控客户付款行为，对即将到期或已逾期的回款，向项目负责人预警；</w:t>
                            </w:r>
                          </w:p>
                          <w:p w14:paraId="4E34D170">
                            <w:pPr>
                              <w:rPr>
                                <w:rFonts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lang w:val="en-US" w:eastAsia="zh-CN"/>
                              </w:rPr>
                              <w:t>3、成本超支预警：分析老合同的实际执行成本与预算成本，若成本增速高于收入确认进度，及时预警；</w:t>
                            </w:r>
                          </w:p>
                          <w:p w14:paraId="1BE988BF">
                            <w:pPr>
                              <w:rPr>
                                <w:rFonts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lang w:val="en-US" w:eastAsia="zh-CN"/>
                              </w:rPr>
                              <w:t>4、客户价值分层分析：基于老合同的利润贡献、付款及时性、合作稳定性等维度，对客户进行分层（如A/B/C类）；向决策层提供分析，建议将资源向高价值客户倾斜，优化低价值客户的服务成本或合同条款。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.9pt;margin-top:-81.6pt;height:164.4pt;width:352.55pt;z-index:251667456;mso-width-relative:page;mso-height-relative:page;" fillcolor="#FFFFFF [3201]" filled="t" stroked="t" coordsize="21600,21600" o:gfxdata="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jcVEfZAAAADQEAAA8AAAAAAAAAAQAgAAAAIgAAAGRycy9kb3ducmV2LnhtbFBL&#10;AQIUABQAAAAIAIdO4kC04OhEZwIAAMMEAAAOAAAAAAAAAAEAIAAAACgBAABkcnMvZTJvRG9jLnht&#10;bFBLBQYAAAAABgAGAFkBAAAB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82DD67C">
                      <w:pP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业财融合</w:t>
                      </w:r>
                    </w:p>
                    <w:p w14:paraId="32A13BCD">
                      <w:pPr>
                        <w:rPr>
                          <w:rFonts w:hint="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lang w:val="en-US" w:eastAsia="zh-CN"/>
                        </w:rPr>
                        <w:t>1、建立收入看板：不只是看“合同总额”，而是建立动态看板，监控，分析应收账款账龄、逾期金额及原因；</w:t>
                      </w:r>
                    </w:p>
                    <w:p w14:paraId="3632534E">
                      <w:pPr>
                        <w:rPr>
                          <w:rFonts w:hint="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lang w:val="en-US" w:eastAsia="zh-CN"/>
                        </w:rPr>
                        <w:t>2、回款风险预警：监控客户付款行为，对即将到期或已逾期的回款，向项目负责人预警；</w:t>
                      </w:r>
                    </w:p>
                    <w:p w14:paraId="4E34D170">
                      <w:pPr>
                        <w:rPr>
                          <w:rFonts w:hint="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lang w:val="en-US" w:eastAsia="zh-CN"/>
                        </w:rPr>
                        <w:t>3、成本超支预警：分析老合同的实际执行成本与预算成本，若成本增速高于收入确认进度，及时预警；</w:t>
                      </w:r>
                    </w:p>
                    <w:p w14:paraId="1BE988BF">
                      <w:pPr>
                        <w:rPr>
                          <w:rFonts w:hint="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lang w:val="en-US" w:eastAsia="zh-CN"/>
                        </w:rPr>
                        <w:t>4、客户价值分层分析：基于老合同的利润贡献、付款及时性、合作稳定性等维度，对客户进行分层（如A/B/C类）；向决策层提供分析，建议将资源向高价值客户倾斜，优化低价值客户的服务成本或合同条款。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7F0EF4">
      <w:pPr>
        <w:tabs>
          <w:tab w:val="left" w:pos="9797"/>
        </w:tabs>
        <w:bidi w:val="0"/>
        <w:jc w:val="left"/>
        <w:rPr>
          <w:rFonts w:hint="eastAsia"/>
          <w:lang w:val="en-US" w:eastAsia="zh-CN"/>
        </w:rPr>
      </w:pPr>
    </w:p>
    <w:p w14:paraId="59E03E17">
      <w:pPr>
        <w:tabs>
          <w:tab w:val="left" w:pos="979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="宋体" w:hAnsi="宋体"/>
          <w:b/>
          <w:bCs/>
          <w:color w:val="auto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100330</wp:posOffset>
            </wp:positionV>
            <wp:extent cx="7453630" cy="3053715"/>
            <wp:effectExtent l="0" t="0" r="13970" b="13335"/>
            <wp:wrapSquare wrapText="right"/>
            <wp:docPr id="2" name="未知 2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1" name="组合 0"/>
                    <a:cNvGrpSpPr/>
                  </a:nvGrpSpPr>
                  <a:grpSpPr>
                    <a:xfrm>
                      <a:off x="0" y="0"/>
                      <a:ext cx="6983412" cy="3887788"/>
                      <a:chOff x="684213" y="2349500"/>
                      <a:chExt cx="6983412" cy="3887788"/>
                    </a:xfrm>
                  </a:grpSpPr>
                  <a:grpSp>
                    <a:nvGrpSpPr>
                      <a:cNvPr id="8" name="组合 7"/>
                      <a:cNvGrpSpPr/>
                    </a:nvGrpSpPr>
                    <a:grpSpPr>
                      <a:xfrm>
                        <a:off x="684213" y="2349500"/>
                        <a:ext cx="6983412" cy="3887788"/>
                        <a:chOff x="684213" y="2349500"/>
                        <a:chExt cx="6983412" cy="3887788"/>
                      </a:xfrm>
                    </a:grpSpPr>
                    <a:sp>
                      <a:nvSpPr>
                        <a:cNvPr id="9218" name="Line 2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684213" y="4365625"/>
                          <a:ext cx="6983412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zh-CN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19" name="Line 2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364163" y="2349500"/>
                          <a:ext cx="1512887" cy="2014538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zh-CN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20" name="Line 2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411413" y="2420938"/>
                          <a:ext cx="1514475" cy="19431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zh-CN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21" name="Line 3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476375" y="4365625"/>
                          <a:ext cx="1296988" cy="172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zh-CN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222" name="Line 3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787900" y="4365625"/>
                          <a:ext cx="1368425" cy="1871663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zh-CN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Font typeface="Arial" panose="020B0604020202020204" pitchFamily="34" charset="0"/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b="1" kern="1200">
                                <a:solidFill>
                                  <a:schemeClr val="tx1"/>
                                </a:solidFill>
                                <a:latin typeface="Arial" panose="020B0604020202020204" pitchFamily="34" charset="0"/>
                                <a:ea typeface="宋体" panose="02010600030101010101" charset="-122"/>
                                <a:cs typeface="+mn-cs"/>
                              </a:defRPr>
                            </a:lvl9pPr>
                          </a:lstStyle>
                          <a:p>
                            <a:endParaRPr lang="zh-CN" altLang="en-US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</w:p>
    <w:p w14:paraId="7AAF8FF8">
      <w:pPr>
        <w:tabs>
          <w:tab w:val="left" w:pos="9797"/>
        </w:tabs>
        <w:bidi w:val="0"/>
        <w:jc w:val="left"/>
        <w:rPr>
          <w:rFonts w:hint="eastAsia"/>
          <w:lang w:val="en-US" w:eastAsia="zh-CN"/>
        </w:rPr>
      </w:pPr>
    </w:p>
    <w:p w14:paraId="7BF58693">
      <w:pPr>
        <w:tabs>
          <w:tab w:val="left" w:pos="9797"/>
        </w:tabs>
        <w:bidi w:val="0"/>
        <w:jc w:val="left"/>
        <w:rPr>
          <w:rFonts w:hint="eastAsia"/>
          <w:lang w:val="en-US" w:eastAsia="zh-CN"/>
        </w:rPr>
      </w:pPr>
    </w:p>
    <w:p w14:paraId="022CB6B2">
      <w:pPr>
        <w:tabs>
          <w:tab w:val="left" w:pos="9797"/>
        </w:tabs>
        <w:bidi w:val="0"/>
        <w:jc w:val="left"/>
        <w:rPr>
          <w:rFonts w:hint="eastAsia"/>
          <w:lang w:val="en-US" w:eastAsia="zh-CN"/>
        </w:rPr>
      </w:pPr>
    </w:p>
    <w:p w14:paraId="4ECA4AA9">
      <w:pPr>
        <w:tabs>
          <w:tab w:val="left" w:pos="9797"/>
        </w:tabs>
        <w:bidi w:val="0"/>
        <w:jc w:val="left"/>
        <w:rPr>
          <w:rFonts w:hint="eastAsia"/>
          <w:lang w:val="en-US" w:eastAsia="zh-CN"/>
        </w:rPr>
      </w:pPr>
    </w:p>
    <w:p w14:paraId="1B4E5E91">
      <w:pPr>
        <w:tabs>
          <w:tab w:val="left" w:pos="9797"/>
        </w:tabs>
        <w:bidi w:val="0"/>
        <w:jc w:val="left"/>
        <w:rPr>
          <w:rFonts w:hint="eastAsia"/>
          <w:lang w:val="en-US" w:eastAsia="zh-CN"/>
        </w:rPr>
      </w:pPr>
    </w:p>
    <w:p w14:paraId="5DA8BF01">
      <w:pPr>
        <w:tabs>
          <w:tab w:val="left" w:pos="9797"/>
        </w:tabs>
        <w:bidi w:val="0"/>
        <w:jc w:val="left"/>
        <w:rPr>
          <w:rFonts w:hint="eastAsia"/>
          <w:lang w:val="en-US" w:eastAsia="zh-CN"/>
        </w:rPr>
      </w:pPr>
    </w:p>
    <w:p w14:paraId="627083A7">
      <w:pPr>
        <w:tabs>
          <w:tab w:val="left" w:pos="9797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155575</wp:posOffset>
                </wp:positionV>
                <wp:extent cx="1669415" cy="334645"/>
                <wp:effectExtent l="4445" t="4445" r="21590" b="228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636000" y="3041650"/>
                          <a:ext cx="1669415" cy="334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A06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highlight w:val="none"/>
                                <w:lang w:val="en-US" w:eastAsia="zh-CN"/>
                              </w:rPr>
                              <w:t>管理、数据融合化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15pt;margin-top:12.25pt;height:26.35pt;width:131.45pt;z-index:251666432;mso-width-relative:page;mso-height-relative:page;" fillcolor="#FFFFFF [3201]" filled="t" stroked="t" coordsize="21600,21600" o:gfxdata="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NTs0f1wAAAAkBAAAPAAAAAAAAAAEAIAAAACIAAABkcnMvZG93bnJldi54bWxQSwECFAAUAAAA&#10;CACHTuJAzVxW7WECAADDBAAADgAAAAAAAAABACAAAAAm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BBA068D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color w:val="auto"/>
                          <w:highlight w:val="none"/>
                          <w:lang w:val="en-US" w:eastAsia="zh-CN"/>
                        </w:rPr>
                        <w:t>管理、数据融合化</w:t>
                      </w:r>
                    </w:p>
                  </w:txbxContent>
                </v:textbox>
              </v:shape>
            </w:pict>
          </mc:Fallback>
        </mc:AlternateContent>
      </w:r>
    </w:p>
    <w:p w14:paraId="7A7C4DE5">
      <w:pPr>
        <w:tabs>
          <w:tab w:val="left" w:pos="9797"/>
        </w:tabs>
        <w:bidi w:val="0"/>
        <w:jc w:val="left"/>
        <w:rPr>
          <w:rFonts w:hint="eastAsia"/>
          <w:lang w:val="en-US" w:eastAsia="zh-CN"/>
        </w:rPr>
      </w:pPr>
    </w:p>
    <w:p w14:paraId="215B8AB2">
      <w:pPr>
        <w:tabs>
          <w:tab w:val="left" w:pos="9797"/>
        </w:tabs>
        <w:bidi w:val="0"/>
        <w:jc w:val="left"/>
        <w:rPr>
          <w:rFonts w:hint="eastAsia"/>
          <w:lang w:val="en-US" w:eastAsia="zh-CN"/>
        </w:rPr>
      </w:pPr>
    </w:p>
    <w:p w14:paraId="0672AD12">
      <w:pPr>
        <w:tabs>
          <w:tab w:val="left" w:pos="9797"/>
        </w:tabs>
        <w:bidi w:val="0"/>
        <w:jc w:val="left"/>
        <w:rPr>
          <w:rFonts w:hint="eastAsia"/>
          <w:lang w:val="en-US" w:eastAsia="zh-CN"/>
        </w:rPr>
      </w:pPr>
    </w:p>
    <w:p w14:paraId="5AC0F6B5">
      <w:pPr>
        <w:tabs>
          <w:tab w:val="left" w:pos="9797"/>
        </w:tabs>
        <w:bidi w:val="0"/>
        <w:jc w:val="left"/>
        <w:rPr>
          <w:rFonts w:hint="eastAsia"/>
          <w:lang w:val="en-US" w:eastAsia="zh-CN"/>
        </w:rPr>
      </w:pPr>
    </w:p>
    <w:p w14:paraId="075F5940">
      <w:pPr>
        <w:tabs>
          <w:tab w:val="left" w:pos="9797"/>
        </w:tabs>
        <w:bidi w:val="0"/>
        <w:jc w:val="left"/>
        <w:rPr>
          <w:rFonts w:hint="eastAsia"/>
          <w:lang w:val="en-US" w:eastAsia="zh-CN"/>
        </w:rPr>
      </w:pPr>
    </w:p>
    <w:p w14:paraId="74A206E3">
      <w:pPr>
        <w:tabs>
          <w:tab w:val="left" w:pos="9797"/>
        </w:tabs>
        <w:bidi w:val="0"/>
        <w:jc w:val="left"/>
        <w:rPr>
          <w:rFonts w:hint="eastAsia"/>
          <w:lang w:val="en-US" w:eastAsia="zh-CN"/>
        </w:rPr>
      </w:pPr>
    </w:p>
    <w:p w14:paraId="27F32DD3">
      <w:pPr>
        <w:tabs>
          <w:tab w:val="left" w:pos="9797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-6870700</wp:posOffset>
                </wp:positionH>
                <wp:positionV relativeFrom="paragraph">
                  <wp:posOffset>167640</wp:posOffset>
                </wp:positionV>
                <wp:extent cx="4439285" cy="1482725"/>
                <wp:effectExtent l="4445" t="4445" r="13970" b="177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30345" y="4863465"/>
                          <a:ext cx="4439285" cy="148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03F77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决策辅助有效化</w:t>
                            </w:r>
                          </w:p>
                          <w:p w14:paraId="34E8A18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、协同人事精准核算各团队、各岗位的绩效达成数据，确保激励奖金及时、准确兑现</w:t>
                            </w:r>
                          </w:p>
                          <w:p w14:paraId="3F08B4E6"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2、项目专属财务跟踪表，核心维度包括：预算执行率、回款进度、毛利实时测算、成本偏差原因分析等。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41pt;margin-top:13.2pt;height:116.75pt;width:349.55pt;z-index:251668480;mso-width-relative:page;mso-height-relative:page;" fillcolor="#FFFFFF [3201]" filled="t" stroked="t" coordsize="21600,21600" o:gfxdata="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MOSY6vaAAAADQEAAA8AAAAAAAAAAQAgAAAAIgAAAGRycy9kb3ducmV2LnhtbFBL&#10;AQIUABQAAAAIAIdO4kBiqBRlZgIAAMQEAAAOAAAAAAAAAAEAIAAAACkBAABkcnMvZTJvRG9jLnht&#10;bFBLBQYAAAAABgAGAFkBAAAB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C603F77"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决策辅助有效化</w:t>
                      </w:r>
                    </w:p>
                    <w:p w14:paraId="34E8A18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、协同人事精准核算各团队、各岗位的绩效达成数据，确保激励奖金及时、准确兑现</w:t>
                      </w:r>
                    </w:p>
                    <w:p w14:paraId="3F08B4E6"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2、项目专属财务跟踪表，核心维度包括：预算执行率、回款进度、毛利实时测算、成本偏差原因分析等。</w:t>
                      </w:r>
                    </w:p>
                  </w:txbxContent>
                </v:textbox>
              </v:shape>
            </w:pict>
          </mc:Fallback>
        </mc:AlternateContent>
      </w:r>
    </w:p>
    <w:p w14:paraId="39D7077D">
      <w:pPr>
        <w:tabs>
          <w:tab w:val="left" w:pos="9797"/>
        </w:tabs>
        <w:bidi w:val="0"/>
        <w:jc w:val="left"/>
        <w:rPr>
          <w:rFonts w:hint="eastAsia"/>
          <w:lang w:val="en-US" w:eastAsia="zh-CN"/>
        </w:rPr>
      </w:pPr>
    </w:p>
    <w:p w14:paraId="5BC2D36E">
      <w:pPr>
        <w:tabs>
          <w:tab w:val="left" w:pos="9797"/>
        </w:tabs>
        <w:bidi w:val="0"/>
        <w:jc w:val="left"/>
        <w:rPr>
          <w:rFonts w:hint="eastAsia"/>
          <w:lang w:val="en-US" w:eastAsia="zh-CN"/>
        </w:rPr>
      </w:pPr>
    </w:p>
    <w:p w14:paraId="626F00CC">
      <w:pPr>
        <w:tabs>
          <w:tab w:val="left" w:pos="9797"/>
        </w:tabs>
        <w:bidi w:val="0"/>
        <w:jc w:val="left"/>
        <w:rPr>
          <w:rFonts w:hint="eastAsia"/>
          <w:lang w:val="en-US" w:eastAsia="zh-CN"/>
        </w:rPr>
      </w:pPr>
    </w:p>
    <w:p w14:paraId="6B9B446F">
      <w:pPr>
        <w:tabs>
          <w:tab w:val="left" w:pos="9797"/>
        </w:tabs>
        <w:bidi w:val="0"/>
        <w:jc w:val="left"/>
        <w:rPr>
          <w:rFonts w:hint="eastAsia"/>
          <w:lang w:val="en-US" w:eastAsia="zh-CN"/>
        </w:rPr>
      </w:pPr>
    </w:p>
    <w:p w14:paraId="5C18833D">
      <w:pPr>
        <w:tabs>
          <w:tab w:val="left" w:pos="9797"/>
        </w:tabs>
        <w:bidi w:val="0"/>
        <w:jc w:val="left"/>
        <w:rPr>
          <w:rFonts w:hint="eastAsia"/>
          <w:lang w:val="en-US" w:eastAsia="zh-CN"/>
        </w:rPr>
      </w:pPr>
    </w:p>
    <w:p w14:paraId="2CD962E1">
      <w:pPr>
        <w:tabs>
          <w:tab w:val="left" w:pos="9797"/>
        </w:tabs>
        <w:bidi w:val="0"/>
        <w:jc w:val="left"/>
        <w:rPr>
          <w:rFonts w:hint="eastAsia"/>
          <w:lang w:val="en-US" w:eastAsia="zh-CN"/>
        </w:rPr>
      </w:pPr>
    </w:p>
    <w:p w14:paraId="7900DC5D">
      <w:pPr>
        <w:tabs>
          <w:tab w:val="left" w:pos="9797"/>
        </w:tabs>
        <w:bidi w:val="0"/>
        <w:jc w:val="left"/>
        <w:rPr>
          <w:rFonts w:hint="eastAsia"/>
          <w:lang w:val="en-US" w:eastAsia="zh-CN"/>
        </w:rPr>
      </w:pPr>
    </w:p>
    <w:p w14:paraId="63A6B06D">
      <w:pPr>
        <w:tabs>
          <w:tab w:val="left" w:pos="9797"/>
        </w:tabs>
        <w:bidi w:val="0"/>
        <w:jc w:val="left"/>
        <w:rPr>
          <w:rFonts w:hint="eastAsia"/>
          <w:lang w:val="en-US" w:eastAsia="zh-CN"/>
        </w:rPr>
      </w:pPr>
    </w:p>
    <w:p w14:paraId="0613B417">
      <w:pPr>
        <w:tabs>
          <w:tab w:val="left" w:pos="9797"/>
        </w:tabs>
        <w:bidi w:val="0"/>
        <w:jc w:val="center"/>
        <w:rPr>
          <w:rFonts w:hint="eastAsia"/>
          <w:lang w:val="en-US" w:eastAsia="zh-CN"/>
        </w:rPr>
      </w:pPr>
    </w:p>
    <w:p w14:paraId="63233CFA">
      <w:pPr>
        <w:numPr>
          <w:ilvl w:val="0"/>
          <w:numId w:val="10"/>
        </w:numPr>
        <w:ind w:firstLine="0" w:firstLineChars="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行动计划表</w:t>
      </w:r>
      <w:r>
        <w:rPr>
          <w:rFonts w:hint="eastAsia" w:ascii="宋体" w:hAnsi="宋体"/>
          <w:b/>
          <w:bCs/>
          <w:szCs w:val="21"/>
          <w:highlight w:val="none"/>
        </w:rPr>
        <w:t>（2026年）</w:t>
      </w:r>
    </w:p>
    <w:p w14:paraId="7ECA1E2E">
      <w:pPr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重点事项——多、快、好、省</w:t>
      </w:r>
    </w:p>
    <w:tbl>
      <w:tblPr>
        <w:tblStyle w:val="6"/>
        <w:tblW w:w="15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935"/>
        <w:gridCol w:w="1785"/>
        <w:gridCol w:w="2775"/>
        <w:gridCol w:w="3930"/>
        <w:gridCol w:w="1185"/>
        <w:gridCol w:w="1635"/>
        <w:gridCol w:w="1320"/>
      </w:tblGrid>
      <w:tr w14:paraId="7830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tblHeader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8D65B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1935" w:type="dxa"/>
            <w:tcBorders>
              <w:bottom w:val="single" w:color="auto" w:sz="4" w:space="0"/>
            </w:tcBorders>
            <w:noWrap w:val="0"/>
            <w:vAlign w:val="top"/>
          </w:tcPr>
          <w:p w14:paraId="2C555A98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  <w:p w14:paraId="01559274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一级指标</w:t>
            </w:r>
          </w:p>
        </w:tc>
        <w:tc>
          <w:tcPr>
            <w:tcW w:w="1785" w:type="dxa"/>
            <w:noWrap w:val="0"/>
            <w:vAlign w:val="top"/>
          </w:tcPr>
          <w:p w14:paraId="184183AA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  <w:p w14:paraId="145B3269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二级指标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90626D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行动举措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0CF90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成果要求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1339D987">
            <w:pPr>
              <w:jc w:val="center"/>
              <w:rPr>
                <w:rFonts w:hint="eastAsia" w:ascii="宋体" w:hAnsi="宋体"/>
                <w:color w:val="000000"/>
              </w:rPr>
            </w:pPr>
          </w:p>
          <w:p w14:paraId="7DFE2457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责任人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9161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完成时间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605E0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检查人</w:t>
            </w:r>
          </w:p>
        </w:tc>
      </w:tr>
      <w:tr w14:paraId="65214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8703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4C8F0C4">
            <w:pPr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净利率目标达成9.87%</w:t>
            </w:r>
          </w:p>
          <w:p w14:paraId="747E4C84">
            <w:pPr>
              <w:jc w:val="center"/>
              <w:rPr>
                <w:rFonts w:hint="default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vMerge w:val="restart"/>
            <w:noWrap w:val="0"/>
            <w:vAlign w:val="top"/>
          </w:tcPr>
          <w:p w14:paraId="5B3CA5EE">
            <w:pPr>
              <w:jc w:val="center"/>
              <w:rPr>
                <w:rFonts w:hint="eastAsia"/>
                <w:b/>
                <w:bCs/>
              </w:rPr>
            </w:pPr>
          </w:p>
          <w:p w14:paraId="3AE984C7">
            <w:pPr>
              <w:jc w:val="center"/>
              <w:rPr>
                <w:rFonts w:hint="eastAsia"/>
                <w:b/>
                <w:bCs/>
              </w:rPr>
            </w:pPr>
          </w:p>
          <w:p w14:paraId="36062D38">
            <w:pPr>
              <w:rPr>
                <w:rFonts w:hint="eastAsia" w:eastAsia="宋体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auto"/>
                <w:highlight w:val="none"/>
                <w:lang w:val="en-US" w:eastAsia="zh-CN"/>
              </w:rPr>
              <w:t>预算成本管控</w:t>
            </w: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具体化</w:t>
            </w:r>
          </w:p>
          <w:p w14:paraId="61C30CA5">
            <w:pPr>
              <w:jc w:val="center"/>
              <w:rPr>
                <w:rFonts w:hint="default"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9BF82B">
            <w:pPr>
              <w:jc w:val="center"/>
            </w:pPr>
            <w:r>
              <w:rPr>
                <w:rFonts w:hint="eastAsia"/>
              </w:rPr>
              <w:t>管理报表提交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173A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每月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日前管理报表提交且错误≤2项</w:t>
            </w:r>
          </w:p>
          <w:p w14:paraId="6F3FB80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（可弥补且未造成损失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27A59A7C">
            <w:pPr>
              <w:jc w:val="center"/>
              <w:rPr>
                <w:rFonts w:hint="eastAsia"/>
              </w:rPr>
            </w:pPr>
          </w:p>
          <w:p w14:paraId="7C59FDA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杜希龙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0088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月度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E4A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禄园园</w:t>
            </w:r>
          </w:p>
        </w:tc>
      </w:tr>
      <w:tr w14:paraId="54929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68A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935" w:type="dxa"/>
            <w:vMerge w:val="continue"/>
            <w:noWrap w:val="0"/>
            <w:vAlign w:val="top"/>
          </w:tcPr>
          <w:p w14:paraId="58B3FABC">
            <w:pPr>
              <w:jc w:val="center"/>
              <w:rPr>
                <w:rFonts w:hint="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 w14:paraId="2312116B">
            <w:pPr>
              <w:jc w:val="center"/>
              <w:rPr>
                <w:rFonts w:hint="default" w:eastAsia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4B4EAC">
            <w:pPr>
              <w:jc w:val="center"/>
              <w:rPr>
                <w:rFonts w:hint="eastAsia"/>
              </w:rPr>
            </w:pPr>
          </w:p>
          <w:p w14:paraId="5A4F4695">
            <w:pPr>
              <w:jc w:val="center"/>
            </w:pPr>
            <w:r>
              <w:rPr>
                <w:rFonts w:hint="eastAsia"/>
              </w:rPr>
              <w:t>月度组织经营成本分析会</w:t>
            </w:r>
          </w:p>
          <w:p w14:paraId="557ED0AF"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718B02B">
            <w:pPr>
              <w:jc w:val="center"/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>每</w:t>
            </w:r>
            <w:r>
              <w:rPr>
                <w:rFonts w:hint="eastAsia" w:cs="宋体"/>
                <w:kern w:val="0"/>
                <w:szCs w:val="21"/>
              </w:rPr>
              <w:t>月8日前组织并完成月度成本分析会的召开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68D9B2BE">
            <w:pPr>
              <w:jc w:val="center"/>
              <w:rPr>
                <w:rFonts w:hint="eastAsia"/>
              </w:rPr>
            </w:pPr>
          </w:p>
          <w:p w14:paraId="3D0F7BF0"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杜希龙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67E17">
            <w:pPr>
              <w:jc w:val="center"/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月度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5A0D0"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禄园园</w:t>
            </w:r>
          </w:p>
        </w:tc>
      </w:tr>
      <w:tr w14:paraId="2A566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AB2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935" w:type="dxa"/>
            <w:vMerge w:val="continue"/>
            <w:noWrap w:val="0"/>
            <w:vAlign w:val="top"/>
          </w:tcPr>
          <w:p w14:paraId="3A27DDEA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785" w:type="dxa"/>
            <w:vMerge w:val="restart"/>
            <w:noWrap w:val="0"/>
            <w:vAlign w:val="top"/>
          </w:tcPr>
          <w:p w14:paraId="3884A530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  <w:p w14:paraId="42907EFE"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 w14:paraId="456D90C9"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 w14:paraId="68777460">
            <w:pP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财务标准化</w:t>
            </w:r>
          </w:p>
          <w:p w14:paraId="0F086ED7">
            <w:pPr>
              <w:jc w:val="center"/>
              <w:rPr>
                <w:rFonts w:hint="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4CE5FF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税务申报</w:t>
            </w:r>
            <w:r>
              <w:rPr>
                <w:rFonts w:hint="eastAsia"/>
                <w:color w:val="000000"/>
                <w:lang w:val="en-US" w:eastAsia="zh-CN"/>
              </w:rPr>
              <w:t>及时准确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E3573A2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月度税务于截止日期前5日全部申报完成、季度税务于截止日期前2日全部申报完成。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5C4ADEB8">
            <w:pPr>
              <w:jc w:val="center"/>
            </w:pPr>
          </w:p>
          <w:p w14:paraId="27047AA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杜希龙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42354">
            <w:pPr>
              <w:jc w:val="center"/>
            </w:pPr>
            <w:r>
              <w:rPr>
                <w:rFonts w:hint="eastAsia"/>
                <w:lang w:val="en-US" w:eastAsia="zh-CN"/>
              </w:rPr>
              <w:t>月度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9850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张雪娇</w:t>
            </w:r>
          </w:p>
        </w:tc>
      </w:tr>
      <w:tr w14:paraId="2B524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D85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935" w:type="dxa"/>
            <w:vMerge w:val="continue"/>
            <w:noWrap w:val="0"/>
            <w:vAlign w:val="top"/>
          </w:tcPr>
          <w:p w14:paraId="212A0227">
            <w:pPr>
              <w:jc w:val="center"/>
              <w:rPr>
                <w:rFonts w:hint="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 w14:paraId="284E264A">
            <w:pPr>
              <w:jc w:val="center"/>
              <w:rPr>
                <w:rFonts w:hint="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B059B3A"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账务处理细化并形成标准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90C9C06">
            <w:pPr>
              <w:jc w:val="center"/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二账合二为一（梳理并整理科目余额表、处理往来账、</w:t>
            </w:r>
            <w:r>
              <w:rPr>
                <w:rFonts w:hint="eastAsia"/>
                <w:lang w:val="en-US" w:eastAsia="zh-CN"/>
              </w:rPr>
              <w:t>准备数据</w:t>
            </w:r>
            <w:r>
              <w:rPr>
                <w:rFonts w:hint="eastAsia"/>
              </w:rPr>
              <w:t>、导入数据）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并输出账务处理标准。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271315A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杜希龙</w:t>
            </w:r>
          </w:p>
          <w:p w14:paraId="58AF9B5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徐建荣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FD59E">
            <w:pPr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t>2026年</w:t>
            </w:r>
            <w:r>
              <w:rPr>
                <w:rFonts w:hint="eastAsia"/>
              </w:rPr>
              <w:t>1</w:t>
            </w:r>
            <w:r>
              <w:t>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71B29"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奎艳美</w:t>
            </w:r>
          </w:p>
        </w:tc>
      </w:tr>
      <w:tr w14:paraId="462D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A81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935" w:type="dxa"/>
            <w:vMerge w:val="continue"/>
            <w:noWrap w:val="0"/>
            <w:vAlign w:val="top"/>
          </w:tcPr>
          <w:p w14:paraId="58EE6DE7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785" w:type="dxa"/>
            <w:noWrap w:val="0"/>
            <w:vAlign w:val="center"/>
          </w:tcPr>
          <w:p w14:paraId="7006197F"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运营资金高效化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E0A8D2"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  <w:t>控客户付款行为，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color="auto" w:fill="FFFFFF"/>
              </w:rPr>
              <w:t>对即将到期或已逾期的回款，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向项目负责人预警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057981E">
            <w:pPr>
              <w:numPr>
                <w:ilvl w:val="0"/>
                <w:numId w:val="0"/>
              </w:numP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应收服务费超15天进行预警，超40天纳入考核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35329C9F">
            <w:pPr>
              <w:jc w:val="center"/>
            </w:pPr>
          </w:p>
          <w:p w14:paraId="77E7D750">
            <w:pPr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徐建荣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0CABA"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月度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6E24C">
            <w:pPr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杜希龙</w:t>
            </w:r>
          </w:p>
        </w:tc>
      </w:tr>
      <w:tr w14:paraId="2D03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B19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935" w:type="dxa"/>
            <w:vMerge w:val="continue"/>
            <w:noWrap w:val="0"/>
            <w:vAlign w:val="top"/>
          </w:tcPr>
          <w:p w14:paraId="44D249D1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567" w:type="dxa"/>
            <w:noWrap w:val="0"/>
            <w:vAlign w:val="top"/>
          </w:tcPr>
          <w:p w14:paraId="3475AD70">
            <w:pPr>
              <w:jc w:val="center"/>
              <w:rPr>
                <w:rFonts w:hint="eastAsia"/>
                <w:b/>
                <w:bCs/>
              </w:rPr>
            </w:pPr>
          </w:p>
          <w:p w14:paraId="4642EB01">
            <w:pPr>
              <w:rPr>
                <w:rFonts w:hint="default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管理、数据融合化</w:t>
            </w:r>
          </w:p>
          <w:p w14:paraId="2BE72AA3">
            <w:pPr>
              <w:jc w:val="center"/>
              <w:rPr>
                <w:rFonts w:hint="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8F39BD">
            <w:pPr>
              <w:jc w:val="both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  <w:t>对客户进行分层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2607F7A">
            <w:pPr>
              <w:jc w:val="both"/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将所有客户按照利润贡献度进行分层，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  <w:t>A/B/C类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3436F32D">
            <w:pPr>
              <w:jc w:val="center"/>
              <w:rPr>
                <w:rFonts w:hint="eastAsia"/>
              </w:rPr>
            </w:pPr>
          </w:p>
          <w:p w14:paraId="71FA2019">
            <w:pPr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杜希龙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9C403"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2026年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E5306">
            <w:pPr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刘佳伟</w:t>
            </w:r>
          </w:p>
        </w:tc>
      </w:tr>
      <w:tr w14:paraId="44553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D90E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935" w:type="dxa"/>
            <w:vMerge w:val="continue"/>
            <w:noWrap w:val="0"/>
            <w:vAlign w:val="top"/>
          </w:tcPr>
          <w:p w14:paraId="03DF15FE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785" w:type="dxa"/>
            <w:noWrap w:val="0"/>
            <w:vAlign w:val="center"/>
          </w:tcPr>
          <w:p w14:paraId="71F3F20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审计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CBFC86"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审计提出关键整改建议并推动审计问题整改率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C701C17"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季度关键整改建议数量≥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且整改率≥90%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53B9904">
            <w:pPr>
              <w:jc w:val="both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审计小组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0CD4">
            <w:pPr>
              <w:jc w:val="center"/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按照时间情况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D6724"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奎艳美</w:t>
            </w:r>
          </w:p>
        </w:tc>
      </w:tr>
    </w:tbl>
    <w:p w14:paraId="3087B7DC">
      <w:pPr>
        <w:tabs>
          <w:tab w:val="left" w:pos="9797"/>
        </w:tabs>
        <w:bidi w:val="0"/>
        <w:jc w:val="left"/>
        <w:rPr>
          <w:rFonts w:hint="eastAsia"/>
          <w:lang w:val="en-US" w:eastAsia="zh-CN"/>
        </w:rPr>
      </w:pPr>
    </w:p>
    <w:p w14:paraId="168DB57E">
      <w:pPr>
        <w:ind w:firstLine="211" w:firstLineChars="10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5、资源需求( 人\财\物)---权 </w:t>
      </w:r>
    </w:p>
    <w:tbl>
      <w:tblPr>
        <w:tblStyle w:val="6"/>
        <w:tblpPr w:leftFromText="180" w:rightFromText="180" w:vertAnchor="text" w:horzAnchor="page" w:tblpX="1388" w:tblpY="320"/>
        <w:tblOverlap w:val="never"/>
        <w:tblW w:w="1460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4"/>
        <w:gridCol w:w="3630"/>
        <w:gridCol w:w="3287"/>
        <w:gridCol w:w="2537"/>
        <w:gridCol w:w="1985"/>
      </w:tblGrid>
      <w:tr w14:paraId="1FCEE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31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DEA477">
            <w:pPr>
              <w:widowControl/>
              <w:jc w:val="center"/>
              <w:textAlignment w:val="baseline"/>
              <w:rPr>
                <w:rFonts w:ascii="Arial" w:hAnsi="Arial" w:cs="宋体"/>
                <w:kern w:val="0"/>
                <w:szCs w:val="21"/>
              </w:rPr>
            </w:pPr>
            <w:r>
              <w:rPr>
                <w:rFonts w:hint="eastAsia" w:ascii="Arial" w:hAnsi="宋体" w:cs="宋体"/>
                <w:b/>
                <w:bCs/>
                <w:color w:val="000000"/>
                <w:kern w:val="24"/>
                <w:szCs w:val="21"/>
              </w:rPr>
              <w:t>目标内容</w:t>
            </w:r>
          </w:p>
        </w:tc>
        <w:tc>
          <w:tcPr>
            <w:tcW w:w="36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D6372D">
            <w:pPr>
              <w:widowControl/>
              <w:jc w:val="center"/>
              <w:textAlignment w:val="baseline"/>
              <w:rPr>
                <w:rFonts w:ascii="Arial" w:hAnsi="Arial" w:cs="宋体"/>
                <w:kern w:val="0"/>
                <w:szCs w:val="21"/>
              </w:rPr>
            </w:pPr>
            <w:r>
              <w:rPr>
                <w:rFonts w:hint="eastAsia" w:ascii="Arial" w:hAnsi="宋体" w:cs="宋体"/>
                <w:b/>
                <w:bCs/>
                <w:color w:val="000000"/>
                <w:kern w:val="24"/>
                <w:szCs w:val="21"/>
              </w:rPr>
              <w:t>措施方法</w:t>
            </w:r>
          </w:p>
        </w:tc>
        <w:tc>
          <w:tcPr>
            <w:tcW w:w="780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4B84FA">
            <w:pPr>
              <w:widowControl/>
              <w:jc w:val="center"/>
              <w:textAlignment w:val="baseline"/>
              <w:rPr>
                <w:rFonts w:ascii="Arial" w:hAnsi="Arial" w:cs="宋体"/>
                <w:kern w:val="0"/>
                <w:szCs w:val="21"/>
              </w:rPr>
            </w:pPr>
            <w:r>
              <w:rPr>
                <w:rFonts w:hint="eastAsia" w:ascii="Arial" w:hAnsi="宋体" w:cs="宋体"/>
                <w:b/>
                <w:bCs/>
                <w:color w:val="000000"/>
                <w:kern w:val="24"/>
                <w:szCs w:val="21"/>
              </w:rPr>
              <w:t>资源需求</w:t>
            </w:r>
          </w:p>
        </w:tc>
      </w:tr>
      <w:tr w14:paraId="422031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7C8445">
            <w:pPr>
              <w:widowControl/>
              <w:jc w:val="center"/>
              <w:rPr>
                <w:rFonts w:ascii="Arial" w:hAnsi="Arial" w:cs="宋体"/>
                <w:kern w:val="0"/>
                <w:szCs w:val="21"/>
              </w:rPr>
            </w:pPr>
          </w:p>
        </w:tc>
        <w:tc>
          <w:tcPr>
            <w:tcW w:w="36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C3AEFE">
            <w:pPr>
              <w:widowControl/>
              <w:jc w:val="center"/>
              <w:rPr>
                <w:rFonts w:ascii="Arial" w:hAnsi="Arial" w:cs="宋体"/>
                <w:kern w:val="0"/>
                <w:szCs w:val="21"/>
              </w:rPr>
            </w:pPr>
          </w:p>
        </w:tc>
        <w:tc>
          <w:tcPr>
            <w:tcW w:w="3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C5038B">
            <w:pPr>
              <w:widowControl/>
              <w:jc w:val="center"/>
              <w:textAlignment w:val="baseline"/>
              <w:rPr>
                <w:rFonts w:ascii="Arial" w:hAnsi="Arial" w:cs="宋体"/>
                <w:kern w:val="0"/>
                <w:szCs w:val="21"/>
              </w:rPr>
            </w:pPr>
            <w:r>
              <w:rPr>
                <w:rFonts w:hint="eastAsia" w:ascii="Arial" w:hAnsi="宋体" w:cs="宋体"/>
                <w:b/>
                <w:bCs/>
                <w:color w:val="000000"/>
                <w:kern w:val="24"/>
                <w:szCs w:val="21"/>
              </w:rPr>
              <w:t>需求内容</w:t>
            </w:r>
          </w:p>
        </w:tc>
        <w:tc>
          <w:tcPr>
            <w:tcW w:w="25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403D38">
            <w:pPr>
              <w:widowControl/>
              <w:jc w:val="center"/>
              <w:textAlignment w:val="baseline"/>
              <w:rPr>
                <w:rFonts w:hint="eastAsia" w:ascii="Arial" w:hAnsi="Arial" w:cs="宋体"/>
                <w:kern w:val="0"/>
                <w:szCs w:val="21"/>
              </w:rPr>
            </w:pPr>
            <w:r>
              <w:rPr>
                <w:rFonts w:hint="eastAsia" w:ascii="Arial" w:hAnsi="宋体" w:cs="宋体"/>
                <w:b/>
                <w:bCs/>
                <w:color w:val="000000"/>
                <w:kern w:val="24"/>
                <w:szCs w:val="21"/>
              </w:rPr>
              <w:t>时间点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DD3E72">
            <w:pPr>
              <w:widowControl/>
              <w:jc w:val="center"/>
              <w:textAlignment w:val="baseline"/>
              <w:rPr>
                <w:rFonts w:ascii="Arial" w:hAnsi="Arial" w:cs="宋体"/>
                <w:kern w:val="0"/>
                <w:szCs w:val="21"/>
              </w:rPr>
            </w:pPr>
            <w:r>
              <w:rPr>
                <w:rFonts w:hint="eastAsia" w:ascii="Arial" w:hAnsi="宋体" w:cs="宋体"/>
                <w:b/>
                <w:bCs/>
                <w:color w:val="000000"/>
                <w:kern w:val="24"/>
                <w:szCs w:val="21"/>
              </w:rPr>
              <w:t>责任人</w:t>
            </w:r>
          </w:p>
        </w:tc>
      </w:tr>
      <w:tr w14:paraId="4D6CA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E34E03">
            <w:pPr>
              <w:widowControl/>
              <w:jc w:val="center"/>
              <w:rPr>
                <w:rFonts w:hint="default" w:ascii="Arial" w:hAnsi="Arial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宋体"/>
                <w:kern w:val="0"/>
                <w:szCs w:val="21"/>
                <w:lang w:val="en-US" w:eastAsia="zh-CN"/>
              </w:rPr>
              <w:t>财务系统软件</w:t>
            </w:r>
          </w:p>
        </w:tc>
        <w:tc>
          <w:tcPr>
            <w:tcW w:w="3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34ACA2">
            <w:pPr>
              <w:widowControl/>
              <w:jc w:val="center"/>
              <w:rPr>
                <w:rFonts w:hint="default" w:ascii="Arial" w:hAnsi="Arial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宋体"/>
                <w:kern w:val="0"/>
                <w:szCs w:val="21"/>
                <w:lang w:val="en-US" w:eastAsia="zh-CN"/>
              </w:rPr>
              <w:t>上线新的财务软件提高核算效率</w:t>
            </w:r>
          </w:p>
        </w:tc>
        <w:tc>
          <w:tcPr>
            <w:tcW w:w="3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3A601A">
            <w:pPr>
              <w:widowControl/>
              <w:jc w:val="center"/>
              <w:rPr>
                <w:rFonts w:hint="default" w:ascii="Arial" w:hAnsi="Arial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宋体"/>
                <w:kern w:val="0"/>
                <w:szCs w:val="21"/>
                <w:lang w:val="en-US" w:eastAsia="zh-CN"/>
              </w:rPr>
              <w:t>金蝶软件架构更新与流程系统相结合</w:t>
            </w:r>
          </w:p>
        </w:tc>
        <w:tc>
          <w:tcPr>
            <w:tcW w:w="25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1EA54A">
            <w:pPr>
              <w:widowControl/>
              <w:jc w:val="center"/>
              <w:rPr>
                <w:rFonts w:hint="default" w:ascii="Arial" w:hAnsi="Arial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宋体"/>
                <w:kern w:val="0"/>
                <w:szCs w:val="21"/>
                <w:lang w:val="en-US" w:eastAsia="zh-CN"/>
              </w:rPr>
              <w:t>5月31日前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D104E9">
            <w:pPr>
              <w:widowControl/>
              <w:jc w:val="center"/>
              <w:rPr>
                <w:rFonts w:hint="eastAsia" w:ascii="Arial" w:hAnsi="Arial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cs="宋体"/>
                <w:kern w:val="0"/>
                <w:szCs w:val="21"/>
                <w:lang w:val="en-US" w:eastAsia="zh-CN"/>
              </w:rPr>
              <w:t>杜希龙</w:t>
            </w:r>
          </w:p>
        </w:tc>
      </w:tr>
    </w:tbl>
    <w:p w14:paraId="4795589D">
      <w:pPr>
        <w:tabs>
          <w:tab w:val="left" w:pos="9797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081C1">
    <w:pPr>
      <w:pStyle w:val="4"/>
    </w:pPr>
    <w:r>
      <w:drawing>
        <wp:inline distT="0" distB="0" distL="114300" distR="114300">
          <wp:extent cx="1128395" cy="455295"/>
          <wp:effectExtent l="0" t="0" r="14605" b="190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839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7B5917"/>
    <w:multiLevelType w:val="singleLevel"/>
    <w:tmpl w:val="BA7B591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A"/>
    <w:multiLevelType w:val="multilevel"/>
    <w:tmpl w:val="0000000A"/>
    <w:lvl w:ilvl="0" w:tentative="0">
      <w:start w:val="1"/>
      <w:numFmt w:val="decimal"/>
      <w:pStyle w:val="2"/>
      <w:lvlText w:val="%1"/>
      <w:lvlJc w:val="left"/>
      <w:pPr>
        <w:tabs>
          <w:tab w:val="left" w:pos="360"/>
        </w:tabs>
        <w:ind w:left="284" w:hanging="284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decimal"/>
      <w:lvlText w:val="%1.%2"/>
      <w:lvlJc w:val="left"/>
      <w:pPr>
        <w:tabs>
          <w:tab w:val="left" w:pos="1021"/>
        </w:tabs>
        <w:ind w:left="1021" w:hanging="596"/>
      </w:pPr>
      <w:rPr>
        <w:rFonts w:hint="default" w:ascii="Times New Roman" w:hAnsi="Times New Roman"/>
        <w:b/>
        <w:i w:val="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1588"/>
        </w:tabs>
        <w:ind w:left="1588" w:hanging="737"/>
      </w:pPr>
      <w:rPr>
        <w:rFonts w:hint="default" w:ascii="Times New Roman" w:hAnsi="Times New Roman"/>
        <w:b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2155"/>
        </w:tabs>
        <w:ind w:left="2155" w:hanging="1078"/>
      </w:pPr>
      <w:rPr>
        <w:rFonts w:hint="default" w:ascii="Arial" w:hAnsi="Arial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abstractNum w:abstractNumId="2">
    <w:nsid w:val="02639B01"/>
    <w:multiLevelType w:val="singleLevel"/>
    <w:tmpl w:val="02639B0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8812B44"/>
    <w:multiLevelType w:val="singleLevel"/>
    <w:tmpl w:val="08812B44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09A10EB2"/>
    <w:multiLevelType w:val="singleLevel"/>
    <w:tmpl w:val="09A10EB2"/>
    <w:lvl w:ilvl="0" w:tentative="0">
      <w:start w:val="4"/>
      <w:numFmt w:val="decimal"/>
      <w:suff w:val="nothing"/>
      <w:lvlText w:val="%1、"/>
      <w:lvlJc w:val="left"/>
    </w:lvl>
  </w:abstractNum>
  <w:abstractNum w:abstractNumId="5">
    <w:nsid w:val="1B5A21E2"/>
    <w:multiLevelType w:val="singleLevel"/>
    <w:tmpl w:val="1B5A21E2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1C0DCCD8"/>
    <w:multiLevelType w:val="singleLevel"/>
    <w:tmpl w:val="1C0DCCD8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69735B2"/>
    <w:multiLevelType w:val="singleLevel"/>
    <w:tmpl w:val="569735B2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5ECCCD17"/>
    <w:multiLevelType w:val="singleLevel"/>
    <w:tmpl w:val="5ECCCD17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76C407F0"/>
    <w:multiLevelType w:val="singleLevel"/>
    <w:tmpl w:val="76C407F0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86E37"/>
    <w:rsid w:val="1972506F"/>
    <w:rsid w:val="1B9F1A0A"/>
    <w:rsid w:val="1C237F47"/>
    <w:rsid w:val="2EC456C9"/>
    <w:rsid w:val="46447DB9"/>
    <w:rsid w:val="479A5CC4"/>
    <w:rsid w:val="4F6F732A"/>
    <w:rsid w:val="50500899"/>
    <w:rsid w:val="55136E9B"/>
    <w:rsid w:val="583F006A"/>
    <w:rsid w:val="5B5B556A"/>
    <w:rsid w:val="61C65D69"/>
    <w:rsid w:val="62882DE1"/>
    <w:rsid w:val="63D86F45"/>
    <w:rsid w:val="64844B9D"/>
    <w:rsid w:val="699F2E9E"/>
    <w:rsid w:val="725956F5"/>
    <w:rsid w:val="79035F14"/>
    <w:rsid w:val="7AD27EC2"/>
    <w:rsid w:val="7D50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120" w:beforeLines="0" w:line="360" w:lineRule="auto"/>
      <w:textAlignment w:val="baseline"/>
      <w:outlineLvl w:val="0"/>
    </w:pPr>
    <w:rPr>
      <w:rFonts w:eastAsia="黑体"/>
      <w:b/>
      <w:kern w:val="44"/>
      <w:sz w:val="28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1326</Words>
  <Characters>1427</Characters>
  <Lines>0</Lines>
  <Paragraphs>0</Paragraphs>
  <TotalTime>1</TotalTime>
  <ScaleCrop>false</ScaleCrop>
  <LinksUpToDate>false</LinksUpToDate>
  <CharactersWithSpaces>1454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2026-01-08T12:07:00Z</dcterms:created>
  <dc:creator>Administrator</dc:creator>
  <cp:lastModifiedBy>WPS_1495679262</cp:lastModifiedBy>
  <dcterms:modified xsi:type="dcterms:W3CDTF">2026-01-13T07:03:27Z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eyJoZGlkIjoiZTc0MWUwY2M2MWJkNTZkYjRjY2FhOTY0ZDY0OTk2ZWYiLCJ1c2VySWQiOiIyODIwOTMxNjYifQ==</vt:lpwstr>
  </property>
  <property fmtid="{D5CDD505-2E9C-101B-9397-08002B2CF9AE}" pid="4" name="ICV">
    <vt:lpwstr>C2F4BAA37F594B3D9DD27CCF085E42D2_13</vt:lpwstr>
  </property>
</Properties>
</file>